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黑体" w:hAnsi="黑体" w:eastAsia="黑体" w:cs="黑体"/>
          <w:sz w:val="44"/>
          <w:szCs w:val="44"/>
          <w:u w:val="none"/>
          <w:lang w:val="en-US" w:eastAsia="zh-CN"/>
        </w:rPr>
      </w:pPr>
      <w:r>
        <w:rPr>
          <w:rFonts w:hint="eastAsia" w:ascii="黑体" w:hAnsi="黑体" w:eastAsia="黑体" w:cs="黑体"/>
          <w:sz w:val="44"/>
          <w:szCs w:val="44"/>
          <w:u w:val="none"/>
          <w:lang w:val="en-US" w:eastAsia="zh-CN"/>
        </w:rPr>
        <w:t>许昌市财源开发建设有限公司</w:t>
      </w:r>
    </w:p>
    <w:p>
      <w:pPr>
        <w:ind w:left="3080" w:hanging="3080" w:hangingChars="700"/>
        <w:jc w:val="center"/>
        <w:rPr>
          <w:rFonts w:hint="eastAsia" w:ascii="黑体" w:hAnsi="黑体" w:eastAsia="黑体" w:cs="黑体"/>
          <w:sz w:val="44"/>
          <w:szCs w:val="44"/>
          <w:u w:val="none"/>
          <w:lang w:val="en-US" w:eastAsia="zh-CN"/>
        </w:rPr>
      </w:pPr>
      <w:r>
        <w:rPr>
          <w:rFonts w:hint="eastAsia" w:ascii="黑体" w:hAnsi="黑体" w:eastAsia="黑体" w:cs="黑体"/>
          <w:sz w:val="44"/>
          <w:szCs w:val="44"/>
          <w:u w:val="none"/>
          <w:lang w:val="en-US" w:eastAsia="zh-CN"/>
        </w:rPr>
        <w:t>智慧信息产业园公寓楼餐具及厨房杂件</w:t>
      </w:r>
    </w:p>
    <w:p>
      <w:pPr>
        <w:ind w:left="3073" w:leftChars="1254" w:hanging="440" w:hangingChars="100"/>
        <w:jc w:val="left"/>
        <w:rPr>
          <w:rFonts w:hint="eastAsia" w:ascii="黑体" w:hAnsi="黑体" w:eastAsia="黑体" w:cs="黑体"/>
          <w:b w:val="0"/>
          <w:bCs w:val="0"/>
          <w:sz w:val="44"/>
          <w:szCs w:val="44"/>
          <w:u w:val="none"/>
          <w:lang w:eastAsia="zh-CN"/>
        </w:rPr>
      </w:pPr>
      <w:r>
        <w:rPr>
          <w:rFonts w:hint="eastAsia" w:ascii="黑体" w:hAnsi="黑体" w:eastAsia="黑体" w:cs="黑体"/>
          <w:sz w:val="44"/>
          <w:szCs w:val="44"/>
          <w:u w:val="none"/>
          <w:lang w:val="en-US" w:eastAsia="zh-CN"/>
        </w:rPr>
        <w:t>项目</w:t>
      </w:r>
      <w:r>
        <w:rPr>
          <w:rFonts w:hint="eastAsia" w:ascii="黑体" w:hAnsi="黑体" w:eastAsia="黑体" w:cs="黑体"/>
          <w:b w:val="0"/>
          <w:bCs w:val="0"/>
          <w:sz w:val="44"/>
          <w:szCs w:val="44"/>
          <w:u w:val="none"/>
          <w:lang w:eastAsia="zh-CN"/>
        </w:rPr>
        <w:t>采购文件</w:t>
      </w:r>
    </w:p>
    <w:p>
      <w:pPr>
        <w:ind w:left="2194" w:leftChars="1045" w:firstLine="900" w:firstLineChars="300"/>
        <w:jc w:val="left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sz w:val="30"/>
          <w:szCs w:val="30"/>
          <w:u w:val="none"/>
          <w:lang w:eastAsia="zh-CN"/>
        </w:rPr>
        <w:t>（不见面开标）</w:t>
      </w:r>
    </w:p>
    <w:p>
      <w:pPr>
        <w:keepNext w:val="0"/>
        <w:keepLines w:val="0"/>
        <w:pageBreakBefore w:val="0"/>
        <w:kinsoku/>
        <w:wordWrap w:val="0"/>
        <w:overflowPunct/>
        <w:topLinePunct w:val="0"/>
        <w:autoSpaceDE/>
        <w:autoSpaceDN/>
        <w:bidi w:val="0"/>
        <w:spacing w:beforeAutospacing="0" w:line="60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许昌市财源开发建设有限公司“许昌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市智慧信息产业园公寓楼餐具及厨房杂件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项目（不见面开标）”的潜在投标人应在《许昌市投资总公司》网站公示公告栏目（http://www.xcstzzgs.cn/）获取采购文件，并于202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年1月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29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日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17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点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00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分（北京时间）前提交投标文件。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 w:val="0"/>
        <w:overflowPunct/>
        <w:topLinePunct w:val="0"/>
        <w:autoSpaceDE/>
        <w:autoSpaceDN/>
        <w:bidi w:val="0"/>
        <w:adjustRightInd/>
        <w:snapToGrid w:val="0"/>
        <w:spacing w:beforeAutospacing="0" w:line="600" w:lineRule="exact"/>
        <w:ind w:left="0" w:leftChars="0" w:firstLine="640" w:firstLineChars="200"/>
        <w:jc w:val="left"/>
        <w:textAlignment w:val="auto"/>
        <w:outlineLvl w:val="9"/>
        <w:rPr>
          <w:rFonts w:hint="eastAsia" w:ascii="仿宋" w:hAnsi="仿宋" w:eastAsia="仿宋" w:cs="仿宋"/>
          <w:b w:val="0"/>
          <w:bCs/>
          <w:sz w:val="32"/>
          <w:szCs w:val="32"/>
          <w:u w:val="none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eastAsia="zh-CN"/>
        </w:rPr>
        <w:t>项目概况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 w:val="0"/>
        <w:overflowPunct/>
        <w:topLinePunct w:val="0"/>
        <w:autoSpaceDE/>
        <w:autoSpaceDN/>
        <w:bidi w:val="0"/>
        <w:adjustRightInd/>
        <w:snapToGrid w:val="0"/>
        <w:spacing w:beforeAutospacing="0" w:line="600" w:lineRule="exact"/>
        <w:ind w:firstLine="640" w:firstLineChars="200"/>
        <w:jc w:val="left"/>
        <w:textAlignment w:val="auto"/>
        <w:outlineLvl w:val="9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（一）项目名称：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许昌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市智慧信息产业园公寓楼餐具及厨房杂件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项目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。</w:t>
      </w:r>
    </w:p>
    <w:p>
      <w:pPr>
        <w:keepNext w:val="0"/>
        <w:keepLines w:val="0"/>
        <w:pageBreakBefore w:val="0"/>
        <w:kinsoku/>
        <w:wordWrap w:val="0"/>
        <w:overflowPunct/>
        <w:topLinePunct w:val="0"/>
        <w:autoSpaceDE/>
        <w:autoSpaceDN/>
        <w:bidi w:val="0"/>
        <w:spacing w:beforeAutospacing="0" w:line="60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（二）项目概况：许昌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市智慧信息产业园公寓楼位于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许昌市城乡一体化示范区，魏武大道与明礼街交叉口。2019年10月，根据市委市政府工作安排，将该项目打造为黄河鲲鹏办公、研发中心及专家公寓（C区），目前，该项目室内装修已基本完成，具备餐饮、住宿、会晤等功能。</w:t>
      </w:r>
    </w:p>
    <w:p>
      <w:pPr>
        <w:keepNext w:val="0"/>
        <w:keepLines w:val="0"/>
        <w:pageBreakBefore w:val="0"/>
        <w:kinsoku/>
        <w:wordWrap w:val="0"/>
        <w:overflowPunct/>
        <w:topLinePunct w:val="0"/>
        <w:autoSpaceDE/>
        <w:autoSpaceDN/>
        <w:bidi w:val="0"/>
        <w:spacing w:beforeAutospacing="0" w:line="60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（三）采购方式：询价。</w:t>
      </w:r>
    </w:p>
    <w:p>
      <w:pPr>
        <w:keepNext w:val="0"/>
        <w:keepLines w:val="0"/>
        <w:pageBreakBefore w:val="0"/>
        <w:kinsoku/>
        <w:wordWrap w:val="0"/>
        <w:overflowPunct/>
        <w:topLinePunct w:val="0"/>
        <w:autoSpaceDE/>
        <w:autoSpaceDN/>
        <w:bidi w:val="0"/>
        <w:spacing w:beforeAutospacing="0" w:line="60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（四）控制价：54383元（含增值税专用发票），超出此报价的为无效投标。</w:t>
      </w:r>
    </w:p>
    <w:p>
      <w:pPr>
        <w:keepNext w:val="0"/>
        <w:keepLines w:val="0"/>
        <w:pageBreakBefore w:val="0"/>
        <w:kinsoku/>
        <w:wordWrap w:val="0"/>
        <w:overflowPunct/>
        <w:topLinePunct w:val="0"/>
        <w:autoSpaceDE/>
        <w:autoSpaceDN/>
        <w:bidi w:val="0"/>
        <w:spacing w:beforeAutospacing="0" w:line="60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（五）采购范围及内容：公寓楼包间餐具、厨房杂件等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。具体内容详见控制价。</w:t>
      </w:r>
    </w:p>
    <w:p>
      <w:pPr>
        <w:keepNext w:val="0"/>
        <w:keepLines w:val="0"/>
        <w:pageBreakBefore w:val="0"/>
        <w:kinsoku/>
        <w:wordWrap w:val="0"/>
        <w:overflowPunct/>
        <w:topLinePunct w:val="0"/>
        <w:autoSpaceDE/>
        <w:autoSpaceDN/>
        <w:bidi w:val="0"/>
        <w:spacing w:beforeAutospacing="0" w:line="60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（六）服务周期：自签订合同之日起5个日历天。</w:t>
      </w:r>
    </w:p>
    <w:p>
      <w:pPr>
        <w:pStyle w:val="24"/>
        <w:keepNext w:val="0"/>
        <w:keepLines w:val="0"/>
        <w:pageBreakBefore w:val="0"/>
        <w:kinsoku/>
        <w:wordWrap w:val="0"/>
        <w:overflowPunct/>
        <w:topLinePunct w:val="0"/>
        <w:autoSpaceDE/>
        <w:autoSpaceDN/>
        <w:bidi w:val="0"/>
        <w:spacing w:beforeAutospacing="0" w:line="600" w:lineRule="exact"/>
        <w:ind w:firstLine="640" w:firstLineChars="200"/>
        <w:textAlignment w:val="auto"/>
        <w:rPr>
          <w:rFonts w:hint="eastAsia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（七）合同及费用支付方式：该项目为总价合同，待中标人供货完成并经采购人确认后，30日内一次性支付全部费用。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 w:val="0"/>
        <w:spacing w:beforeAutospacing="0" w:line="600" w:lineRule="exact"/>
        <w:ind w:left="0" w:leftChars="0" w:firstLine="640" w:firstLineChars="200"/>
        <w:jc w:val="left"/>
        <w:textAlignment w:val="auto"/>
        <w:outlineLvl w:val="9"/>
        <w:rPr>
          <w:rFonts w:hint="eastAsia" w:ascii="黑体" w:hAnsi="黑体" w:eastAsia="黑体" w:cs="黑体"/>
          <w:b w:val="0"/>
          <w:bCs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eastAsia="zh-CN"/>
        </w:rPr>
        <w:t>二、投标人资格</w:t>
      </w:r>
    </w:p>
    <w:p>
      <w:pPr>
        <w:keepNext w:val="0"/>
        <w:keepLines w:val="0"/>
        <w:pageBreakBefore w:val="0"/>
        <w:kinsoku/>
        <w:wordWrap w:val="0"/>
        <w:overflowPunct/>
        <w:topLinePunct w:val="0"/>
        <w:autoSpaceDE/>
        <w:autoSpaceDN/>
        <w:bidi w:val="0"/>
        <w:spacing w:beforeAutospacing="0" w:line="60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（一）具备《中华人民共和国政府采购法》第二十二条规定的条件；</w:t>
      </w:r>
    </w:p>
    <w:p>
      <w:pPr>
        <w:keepNext w:val="0"/>
        <w:keepLines w:val="0"/>
        <w:pageBreakBefore w:val="0"/>
        <w:kinsoku/>
        <w:wordWrap w:val="0"/>
        <w:overflowPunct/>
        <w:topLinePunct w:val="0"/>
        <w:autoSpaceDE/>
        <w:autoSpaceDN/>
        <w:bidi w:val="0"/>
        <w:spacing w:beforeAutospacing="0" w:line="60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（二）未被列入“信用中国”网站(www.creditchina.gov.cn)失信被执行人、重大税收违法案件当事人名单的投标人；“中国政府采购网”(www.ccgp.gov.cn)政府采购严重违法失信行为记录名单的投标人；“中国社会组织公共服务平台”网站（www.chinanpo.gov.cn）严重违法失信名单的社会组织。</w:t>
      </w:r>
    </w:p>
    <w:p>
      <w:pPr>
        <w:keepNext w:val="0"/>
        <w:keepLines w:val="0"/>
        <w:pageBreakBefore w:val="0"/>
        <w:kinsoku/>
        <w:wordWrap w:val="0"/>
        <w:overflowPunct/>
        <w:topLinePunct w:val="0"/>
        <w:autoSpaceDE/>
        <w:autoSpaceDN/>
        <w:bidi w:val="0"/>
        <w:spacing w:beforeAutospacing="0" w:line="600" w:lineRule="exact"/>
        <w:ind w:firstLine="640" w:firstLineChars="200"/>
        <w:jc w:val="left"/>
        <w:textAlignment w:val="auto"/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（三）</w:t>
      </w:r>
      <w:r>
        <w:rPr>
          <w:rFonts w:ascii="仿宋" w:hAnsi="仿宋" w:eastAsia="仿宋" w:cs="仿宋"/>
          <w:b w:val="0"/>
          <w:i w:val="0"/>
          <w:color w:val="000000"/>
          <w:kern w:val="0"/>
          <w:sz w:val="32"/>
          <w:szCs w:val="32"/>
          <w:u w:val="none"/>
          <w:shd w:val="clear" w:fill="FFFFFF"/>
          <w:lang w:val="en-US" w:eastAsia="zh-CN" w:bidi="ar"/>
        </w:rPr>
        <w:t>投标人必须具有独立的法人资格</w:t>
      </w:r>
      <w:r>
        <w:rPr>
          <w:rFonts w:hint="eastAsia" w:ascii="仿宋" w:hAnsi="仿宋" w:eastAsia="仿宋" w:cs="仿宋"/>
          <w:b w:val="0"/>
          <w:i w:val="0"/>
          <w:color w:val="000000"/>
          <w:kern w:val="0"/>
          <w:sz w:val="32"/>
          <w:szCs w:val="32"/>
          <w:u w:val="none"/>
          <w:shd w:val="clear" w:fill="FFFFFF"/>
          <w:lang w:val="en-US" w:eastAsia="zh-CN" w:bidi="ar"/>
        </w:rPr>
        <w:t>，</w:t>
      </w:r>
      <w:r>
        <w:rPr>
          <w:rFonts w:ascii="仿宋" w:hAnsi="仿宋" w:eastAsia="仿宋" w:cs="仿宋"/>
          <w:b w:val="0"/>
          <w:i w:val="0"/>
          <w:color w:val="000000"/>
          <w:kern w:val="0"/>
          <w:sz w:val="32"/>
          <w:szCs w:val="32"/>
          <w:u w:val="none"/>
          <w:shd w:val="clear" w:fill="FFFFFF"/>
          <w:lang w:val="en-US" w:eastAsia="zh-CN" w:bidi="ar"/>
        </w:rPr>
        <w:t>并持有有效的营业执照</w:t>
      </w:r>
      <w:r>
        <w:rPr>
          <w:rFonts w:hint="eastAsia" w:ascii="仿宋" w:hAnsi="仿宋" w:eastAsia="仿宋" w:cs="仿宋"/>
          <w:b w:val="0"/>
          <w:i w:val="0"/>
          <w:color w:val="000000"/>
          <w:kern w:val="0"/>
          <w:sz w:val="32"/>
          <w:szCs w:val="32"/>
          <w:u w:val="none"/>
          <w:shd w:val="clear" w:fill="FFFFFF"/>
          <w:lang w:val="en-US" w:eastAsia="zh-CN" w:bidi="ar"/>
        </w:rPr>
        <w:t>，</w:t>
      </w:r>
      <w:r>
        <w:rPr>
          <w:rFonts w:ascii="仿宋" w:hAnsi="仿宋" w:eastAsia="仿宋" w:cs="仿宋"/>
          <w:b w:val="0"/>
          <w:i w:val="0"/>
          <w:color w:val="000000"/>
          <w:kern w:val="0"/>
          <w:sz w:val="32"/>
          <w:szCs w:val="32"/>
          <w:u w:val="none"/>
          <w:shd w:val="clear" w:fill="FFFFFF"/>
          <w:lang w:val="en-US" w:eastAsia="zh-CN" w:bidi="ar"/>
        </w:rPr>
        <w:t>具备与本项目相关的经营范围</w:t>
      </w:r>
      <w:r>
        <w:rPr>
          <w:rFonts w:hint="eastAsia" w:ascii="仿宋" w:hAnsi="仿宋" w:eastAsia="仿宋" w:cs="仿宋"/>
          <w:b w:val="0"/>
          <w:i w:val="0"/>
          <w:color w:val="000000"/>
          <w:kern w:val="0"/>
          <w:sz w:val="32"/>
          <w:szCs w:val="32"/>
          <w:u w:val="none"/>
          <w:shd w:val="clear" w:fill="FFFFFF"/>
          <w:lang w:val="en-US" w:eastAsia="zh-CN" w:bidi="ar"/>
        </w:rPr>
        <w:t>。</w:t>
      </w:r>
    </w:p>
    <w:p>
      <w:pPr>
        <w:pStyle w:val="2"/>
        <w:keepNext w:val="0"/>
        <w:keepLines w:val="0"/>
        <w:pageBreakBefore w:val="0"/>
        <w:kinsoku/>
        <w:wordWrap w:val="0"/>
        <w:overflowPunct/>
        <w:topLinePunct w:val="0"/>
        <w:autoSpaceDE/>
        <w:autoSpaceDN/>
        <w:bidi w:val="0"/>
        <w:spacing w:beforeAutospacing="0" w:line="600" w:lineRule="exact"/>
        <w:ind w:firstLine="960" w:firstLineChars="300"/>
        <w:textAlignment w:val="auto"/>
        <w:rPr>
          <w:rFonts w:hint="eastAsia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（四）本次招标不接受联合体投标。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snapToGrid w:val="0"/>
        <w:spacing w:beforeAutospacing="0" w:line="600" w:lineRule="exact"/>
        <w:ind w:left="-178" w:leftChars="-85" w:firstLine="640" w:firstLineChars="200"/>
        <w:jc w:val="left"/>
        <w:textAlignment w:val="auto"/>
        <w:outlineLvl w:val="9"/>
        <w:rPr>
          <w:rFonts w:hint="eastAsia" w:ascii="仿宋" w:hAnsi="仿宋" w:eastAsia="仿宋" w:cs="仿宋"/>
          <w:b w:val="0"/>
          <w:bCs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eastAsia="zh-CN"/>
        </w:rPr>
        <w:t>三、开标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snapToGrid w:val="0"/>
        <w:spacing w:beforeAutospacing="0" w:line="600" w:lineRule="exact"/>
        <w:ind w:left="-178" w:leftChars="-85" w:firstLine="640" w:firstLineChars="200"/>
        <w:jc w:val="left"/>
        <w:textAlignment w:val="auto"/>
        <w:outlineLvl w:val="9"/>
        <w:rPr>
          <w:rFonts w:hint="eastAsia" w:ascii="仿宋" w:hAnsi="仿宋" w:eastAsia="仿宋" w:cs="仿宋"/>
          <w:b w:val="0"/>
          <w:bCs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 w:val="0"/>
          <w:bCs/>
          <w:sz w:val="32"/>
          <w:szCs w:val="32"/>
          <w:lang w:val="en-US" w:eastAsia="zh-CN"/>
        </w:rPr>
        <w:t>（一）</w:t>
      </w:r>
      <w:r>
        <w:rPr>
          <w:rFonts w:hint="eastAsia" w:ascii="仿宋" w:hAnsi="仿宋" w:eastAsia="仿宋" w:cs="仿宋"/>
          <w:b w:val="0"/>
          <w:bCs/>
          <w:sz w:val="32"/>
          <w:szCs w:val="32"/>
          <w:lang w:eastAsia="zh-CN"/>
        </w:rPr>
        <w:t>时间：202</w:t>
      </w:r>
      <w:r>
        <w:rPr>
          <w:rFonts w:hint="eastAsia" w:ascii="仿宋" w:hAnsi="仿宋" w:eastAsia="仿宋" w:cs="仿宋"/>
          <w:b w:val="0"/>
          <w:bCs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 w:cs="仿宋"/>
          <w:b w:val="0"/>
          <w:bCs/>
          <w:sz w:val="32"/>
          <w:szCs w:val="32"/>
          <w:lang w:eastAsia="zh-CN"/>
        </w:rPr>
        <w:t>年1月</w:t>
      </w:r>
      <w:r>
        <w:rPr>
          <w:rFonts w:hint="eastAsia" w:ascii="仿宋" w:hAnsi="仿宋" w:eastAsia="仿宋" w:cs="仿宋"/>
          <w:b w:val="0"/>
          <w:bCs/>
          <w:sz w:val="32"/>
          <w:szCs w:val="32"/>
          <w:lang w:val="en-US" w:eastAsia="zh-CN"/>
        </w:rPr>
        <w:t>29</w:t>
      </w:r>
      <w:r>
        <w:rPr>
          <w:rFonts w:hint="eastAsia" w:ascii="仿宋" w:hAnsi="仿宋" w:eastAsia="仿宋" w:cs="仿宋"/>
          <w:b w:val="0"/>
          <w:bCs/>
          <w:sz w:val="32"/>
          <w:szCs w:val="32"/>
          <w:lang w:eastAsia="zh-CN"/>
        </w:rPr>
        <w:t>日</w:t>
      </w:r>
      <w:r>
        <w:rPr>
          <w:rFonts w:hint="eastAsia" w:ascii="仿宋" w:hAnsi="仿宋" w:eastAsia="仿宋" w:cs="仿宋"/>
          <w:b w:val="0"/>
          <w:bCs/>
          <w:sz w:val="32"/>
          <w:szCs w:val="32"/>
          <w:lang w:val="en-US" w:eastAsia="zh-CN"/>
        </w:rPr>
        <w:t>17</w:t>
      </w:r>
      <w:r>
        <w:rPr>
          <w:rFonts w:hint="eastAsia" w:ascii="仿宋" w:hAnsi="仿宋" w:eastAsia="仿宋" w:cs="仿宋"/>
          <w:b w:val="0"/>
          <w:bCs/>
          <w:sz w:val="32"/>
          <w:szCs w:val="32"/>
          <w:lang w:eastAsia="zh-CN"/>
        </w:rPr>
        <w:t>点</w:t>
      </w:r>
      <w:r>
        <w:rPr>
          <w:rFonts w:hint="eastAsia" w:ascii="仿宋" w:hAnsi="仿宋" w:eastAsia="仿宋" w:cs="仿宋"/>
          <w:b w:val="0"/>
          <w:bCs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仿宋"/>
          <w:b w:val="0"/>
          <w:bCs/>
          <w:sz w:val="32"/>
          <w:szCs w:val="32"/>
          <w:lang w:eastAsia="zh-CN"/>
        </w:rPr>
        <w:t>0分（北京时间）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snapToGrid w:val="0"/>
        <w:spacing w:beforeAutospacing="0" w:line="600" w:lineRule="exact"/>
        <w:ind w:left="-178" w:leftChars="-85" w:firstLine="640" w:firstLineChars="200"/>
        <w:jc w:val="left"/>
        <w:textAlignment w:val="auto"/>
        <w:outlineLvl w:val="9"/>
        <w:rPr>
          <w:rFonts w:hint="eastAsia" w:ascii="仿宋" w:hAnsi="仿宋" w:eastAsia="仿宋" w:cs="仿宋"/>
          <w:b w:val="0"/>
          <w:bCs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 w:val="0"/>
          <w:bCs/>
          <w:sz w:val="32"/>
          <w:szCs w:val="32"/>
          <w:lang w:val="en-US" w:eastAsia="zh-CN"/>
        </w:rPr>
        <w:t>（二）</w:t>
      </w:r>
      <w:r>
        <w:rPr>
          <w:rFonts w:hint="eastAsia" w:ascii="仿宋" w:hAnsi="仿宋" w:eastAsia="仿宋" w:cs="仿宋"/>
          <w:b w:val="0"/>
          <w:bCs/>
          <w:sz w:val="32"/>
          <w:szCs w:val="32"/>
          <w:lang w:eastAsia="zh-CN"/>
        </w:rPr>
        <w:t>地点：许昌市老年大学</w:t>
      </w:r>
      <w:r>
        <w:rPr>
          <w:rFonts w:hint="eastAsia" w:ascii="仿宋" w:hAnsi="仿宋" w:eastAsia="仿宋" w:cs="仿宋"/>
          <w:b w:val="0"/>
          <w:bCs/>
          <w:sz w:val="32"/>
          <w:szCs w:val="32"/>
          <w:lang w:val="en-US" w:eastAsia="zh-CN"/>
        </w:rPr>
        <w:t>11楼会议室</w:t>
      </w:r>
      <w:r>
        <w:rPr>
          <w:rFonts w:hint="eastAsia" w:ascii="仿宋" w:hAnsi="仿宋" w:eastAsia="仿宋" w:cs="仿宋"/>
          <w:b w:val="0"/>
          <w:bCs/>
          <w:sz w:val="32"/>
          <w:szCs w:val="32"/>
          <w:lang w:eastAsia="zh-CN"/>
        </w:rPr>
        <w:t>（本项目采用不见面开标，投标人无须到现场）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snapToGrid w:val="0"/>
        <w:spacing w:beforeAutospacing="0" w:line="600" w:lineRule="exact"/>
        <w:ind w:left="-178" w:leftChars="-85" w:firstLine="640" w:firstLineChars="200"/>
        <w:jc w:val="left"/>
        <w:textAlignment w:val="auto"/>
        <w:outlineLvl w:val="9"/>
        <w:rPr>
          <w:rFonts w:hint="eastAsia" w:ascii="仿宋" w:hAnsi="仿宋" w:eastAsia="仿宋" w:cs="仿宋"/>
          <w:b w:val="0"/>
          <w:bCs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 w:val="0"/>
          <w:bCs/>
          <w:sz w:val="32"/>
          <w:szCs w:val="32"/>
          <w:lang w:val="en-US" w:eastAsia="zh-CN"/>
        </w:rPr>
        <w:t>（三）</w:t>
      </w:r>
      <w:r>
        <w:rPr>
          <w:rFonts w:hint="eastAsia" w:ascii="仿宋" w:hAnsi="仿宋" w:eastAsia="仿宋" w:cs="仿宋"/>
          <w:b w:val="0"/>
          <w:bCs/>
          <w:sz w:val="32"/>
          <w:szCs w:val="32"/>
          <w:lang w:eastAsia="zh-CN"/>
        </w:rPr>
        <w:t>本次招标采用“低价中标”原则，如果出现最低报价相同的，采购人会通知投标人重新报价，具体评标时间由</w:t>
      </w:r>
      <w:r>
        <w:rPr>
          <w:rFonts w:hint="eastAsia" w:ascii="仿宋" w:hAnsi="仿宋" w:eastAsia="仿宋" w:cs="仿宋"/>
          <w:b w:val="0"/>
          <w:bCs/>
          <w:sz w:val="32"/>
          <w:szCs w:val="32"/>
          <w:lang w:val="en-US" w:eastAsia="zh-CN"/>
        </w:rPr>
        <w:t>采购</w:t>
      </w:r>
      <w:r>
        <w:rPr>
          <w:rFonts w:hint="eastAsia" w:ascii="仿宋" w:hAnsi="仿宋" w:eastAsia="仿宋" w:cs="仿宋"/>
          <w:b w:val="0"/>
          <w:bCs/>
          <w:sz w:val="32"/>
          <w:szCs w:val="32"/>
          <w:lang w:eastAsia="zh-CN"/>
        </w:rPr>
        <w:t>人自行安排。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snapToGrid w:val="0"/>
        <w:spacing w:beforeAutospacing="0" w:line="600" w:lineRule="exact"/>
        <w:ind w:left="-178" w:leftChars="-85" w:firstLine="960" w:firstLineChars="300"/>
        <w:jc w:val="left"/>
        <w:textAlignment w:val="auto"/>
        <w:outlineLvl w:val="9"/>
        <w:rPr>
          <w:rFonts w:hint="eastAsia" w:ascii="黑体" w:hAnsi="黑体" w:eastAsia="黑体" w:cs="黑体"/>
          <w:b w:val="0"/>
          <w:bCs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eastAsia="zh-CN"/>
        </w:rPr>
        <w:t>四、投标文件组成</w:t>
      </w:r>
    </w:p>
    <w:p>
      <w:pPr>
        <w:pStyle w:val="8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pacing w:before="0" w:beforeAutospacing="0" w:after="0" w:afterAutospacing="0" w:line="600" w:lineRule="exact"/>
        <w:ind w:left="420" w:leftChars="0" w:right="0" w:rightChars="0"/>
        <w:jc w:val="left"/>
        <w:textAlignment w:val="auto"/>
        <w:rPr>
          <w:rFonts w:hint="eastAsia" w:ascii="仿宋" w:hAnsi="仿宋" w:eastAsia="仿宋" w:cs="仿宋"/>
          <w:b w:val="0"/>
          <w:bCs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 w:val="0"/>
          <w:bCs/>
          <w:sz w:val="32"/>
          <w:szCs w:val="32"/>
          <w:lang w:val="en-US" w:eastAsia="zh-CN"/>
        </w:rPr>
        <w:t>（一）</w:t>
      </w:r>
      <w:r>
        <w:rPr>
          <w:rFonts w:hint="eastAsia" w:ascii="仿宋" w:hAnsi="仿宋" w:eastAsia="仿宋" w:cs="仿宋"/>
          <w:b w:val="0"/>
          <w:bCs/>
          <w:sz w:val="32"/>
          <w:szCs w:val="32"/>
          <w:lang w:eastAsia="zh-CN"/>
        </w:rPr>
        <w:t>采购询价单（详见附件一），并附报价清单。</w:t>
      </w:r>
    </w:p>
    <w:p>
      <w:pPr>
        <w:pStyle w:val="8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 w:rightChars="0" w:firstLine="320" w:firstLineChars="100"/>
        <w:jc w:val="left"/>
        <w:textAlignment w:val="auto"/>
        <w:rPr>
          <w:rFonts w:hint="eastAsia" w:ascii="仿宋" w:hAnsi="仿宋" w:eastAsia="仿宋" w:cs="仿宋"/>
          <w:b w:val="0"/>
          <w:bCs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 w:val="0"/>
          <w:bCs/>
          <w:sz w:val="32"/>
          <w:szCs w:val="32"/>
          <w:lang w:eastAsia="zh-CN"/>
        </w:rPr>
        <w:t>（二）营业执照、被授权人身份证复印件和法人身份证复印件加盖行政公章。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 w:val="0"/>
        <w:spacing w:beforeAutospacing="0" w:line="600" w:lineRule="exact"/>
        <w:ind w:firstLine="320" w:firstLineChars="100"/>
        <w:jc w:val="left"/>
        <w:textAlignment w:val="auto"/>
        <w:outlineLvl w:val="9"/>
        <w:rPr>
          <w:rFonts w:hint="eastAsia" w:ascii="仿宋" w:hAnsi="仿宋" w:eastAsia="仿宋" w:cs="仿宋"/>
          <w:b w:val="0"/>
          <w:bCs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 w:val="0"/>
          <w:bCs/>
          <w:sz w:val="32"/>
          <w:szCs w:val="32"/>
          <w:lang w:eastAsia="zh-CN"/>
        </w:rPr>
        <w:t>（三）</w:t>
      </w:r>
      <w:r>
        <w:rPr>
          <w:rFonts w:hint="eastAsia" w:ascii="仿宋" w:hAnsi="仿宋" w:eastAsia="仿宋" w:cs="仿宋"/>
          <w:b w:val="0"/>
          <w:bCs/>
          <w:sz w:val="32"/>
          <w:szCs w:val="32"/>
          <w:lang w:val="en-US" w:eastAsia="zh-CN"/>
        </w:rPr>
        <w:t>投标承诺函（详见附件二）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 w:val="0"/>
        <w:spacing w:beforeAutospacing="0" w:line="600" w:lineRule="exact"/>
        <w:ind w:firstLine="320" w:firstLineChars="100"/>
        <w:jc w:val="left"/>
        <w:textAlignment w:val="auto"/>
        <w:outlineLvl w:val="9"/>
        <w:rPr>
          <w:rFonts w:hint="eastAsia" w:ascii="仿宋" w:hAnsi="仿宋" w:eastAsia="仿宋" w:cs="仿宋"/>
          <w:b w:val="0"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sz w:val="32"/>
          <w:szCs w:val="32"/>
          <w:lang w:val="en-US" w:eastAsia="zh-CN"/>
        </w:rPr>
        <w:t>（四）投标文件要装订并密封，密封处加盖公司公章。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snapToGrid w:val="0"/>
        <w:spacing w:beforeAutospacing="0" w:line="600" w:lineRule="exact"/>
        <w:ind w:firstLine="320" w:firstLineChars="100"/>
        <w:jc w:val="left"/>
        <w:textAlignment w:val="auto"/>
        <w:outlineLvl w:val="9"/>
        <w:rPr>
          <w:rFonts w:hint="eastAsia" w:ascii="仿宋" w:hAnsi="仿宋" w:eastAsia="仿宋" w:cs="仿宋"/>
          <w:b w:val="0"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sz w:val="32"/>
          <w:szCs w:val="32"/>
          <w:lang w:val="en-US" w:eastAsia="zh-CN"/>
        </w:rPr>
        <w:t>（五）以上资料缺少或不按要求提供的，为无效投标。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snapToGrid w:val="0"/>
        <w:spacing w:beforeAutospacing="0" w:line="600" w:lineRule="exact"/>
        <w:ind w:left="-178" w:leftChars="-85" w:firstLine="960" w:firstLineChars="300"/>
        <w:jc w:val="left"/>
        <w:textAlignment w:val="auto"/>
        <w:outlineLvl w:val="9"/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>五、其他补充事宜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 w:val="0"/>
        <w:overflowPunct/>
        <w:topLinePunct w:val="0"/>
        <w:autoSpaceDE/>
        <w:autoSpaceDN/>
        <w:bidi w:val="0"/>
        <w:snapToGrid w:val="0"/>
        <w:spacing w:beforeAutospacing="0" w:line="600" w:lineRule="exact"/>
        <w:ind w:firstLine="640" w:firstLineChars="200"/>
        <w:jc w:val="left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（一）公告期限：自本公告发布之日起3个工作日。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 w:val="0"/>
        <w:overflowPunct/>
        <w:topLinePunct w:val="0"/>
        <w:autoSpaceDE/>
        <w:autoSpaceDN/>
        <w:bidi w:val="0"/>
        <w:snapToGrid w:val="0"/>
        <w:spacing w:beforeAutospacing="0" w:line="600" w:lineRule="exact"/>
        <w:ind w:firstLine="640" w:firstLineChars="200"/>
        <w:jc w:val="left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（二）投标文件提交地点：许昌市老年大学11楼1108室。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 w:val="0"/>
        <w:overflowPunct/>
        <w:topLinePunct w:val="0"/>
        <w:autoSpaceDE/>
        <w:autoSpaceDN/>
        <w:bidi w:val="0"/>
        <w:snapToGrid w:val="0"/>
        <w:spacing w:beforeAutospacing="0" w:line="600" w:lineRule="exact"/>
        <w:ind w:firstLine="320" w:firstLineChars="100"/>
        <w:jc w:val="left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投标截止时间：2021年1月29日  17:00，超出此时间提交的投标文件视为废标。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 w:val="0"/>
        <w:overflowPunct/>
        <w:topLinePunct w:val="0"/>
        <w:autoSpaceDE/>
        <w:autoSpaceDN/>
        <w:bidi w:val="0"/>
        <w:snapToGrid w:val="0"/>
        <w:spacing w:beforeAutospacing="0" w:line="600" w:lineRule="exact"/>
        <w:ind w:firstLine="640" w:firstLineChars="200"/>
        <w:jc w:val="left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（三）采购人不组织踏勘现场，投标人可自行组织。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 w:val="0"/>
        <w:overflowPunct/>
        <w:topLinePunct w:val="0"/>
        <w:autoSpaceDE/>
        <w:autoSpaceDN/>
        <w:bidi w:val="0"/>
        <w:snapToGrid w:val="0"/>
        <w:spacing w:beforeAutospacing="0" w:line="600" w:lineRule="exact"/>
        <w:ind w:firstLine="640" w:firstLineChars="200"/>
        <w:jc w:val="left"/>
        <w:textAlignment w:val="auto"/>
        <w:outlineLvl w:val="9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（四）有效投标人不得少于3家，否则废标。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snapToGrid w:val="0"/>
        <w:spacing w:beforeAutospacing="0" w:line="600" w:lineRule="exact"/>
        <w:ind w:left="-178" w:leftChars="-85" w:firstLine="960" w:firstLineChars="300"/>
        <w:jc w:val="left"/>
        <w:textAlignment w:val="auto"/>
        <w:outlineLvl w:val="9"/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>六、对本次采购提出询问，请按以下方式联系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 w:val="0"/>
        <w:overflowPunct/>
        <w:topLinePunct w:val="0"/>
        <w:autoSpaceDE/>
        <w:autoSpaceDN/>
        <w:bidi w:val="0"/>
        <w:snapToGrid w:val="0"/>
        <w:spacing w:beforeAutospacing="0" w:line="600" w:lineRule="exact"/>
        <w:ind w:firstLine="640" w:firstLineChars="200"/>
        <w:jc w:val="left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采购人信息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 w:val="0"/>
        <w:overflowPunct/>
        <w:topLinePunct w:val="0"/>
        <w:autoSpaceDE/>
        <w:autoSpaceDN/>
        <w:bidi w:val="0"/>
        <w:adjustRightInd/>
        <w:snapToGrid w:val="0"/>
        <w:spacing w:beforeAutospacing="0" w:line="600" w:lineRule="exact"/>
        <w:ind w:firstLine="640" w:firstLineChars="200"/>
        <w:jc w:val="left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名称：许昌市财源开发建设有限公司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 w:val="0"/>
        <w:overflowPunct/>
        <w:topLinePunct w:val="0"/>
        <w:autoSpaceDE/>
        <w:autoSpaceDN/>
        <w:bidi w:val="0"/>
        <w:adjustRightInd/>
        <w:snapToGrid w:val="0"/>
        <w:spacing w:beforeAutospacing="0" w:line="600" w:lineRule="exact"/>
        <w:ind w:firstLine="640" w:firstLineChars="200"/>
        <w:jc w:val="left"/>
        <w:textAlignment w:val="auto"/>
        <w:outlineLvl w:val="9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地址：许昌市老年大学11楼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 w:val="0"/>
        <w:overflowPunct/>
        <w:topLinePunct w:val="0"/>
        <w:autoSpaceDE/>
        <w:autoSpaceDN/>
        <w:bidi w:val="0"/>
        <w:adjustRightInd/>
        <w:snapToGrid w:val="0"/>
        <w:spacing w:beforeAutospacing="0" w:line="600" w:lineRule="exact"/>
        <w:ind w:firstLine="640" w:firstLineChars="200"/>
        <w:jc w:val="left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联系方式：朱先生  17839120330</w:t>
      </w:r>
    </w:p>
    <w:p>
      <w:pPr>
        <w:pStyle w:val="2"/>
        <w:keepNext w:val="0"/>
        <w:keepLines w:val="0"/>
        <w:pageBreakBefore w:val="0"/>
        <w:kinsoku/>
        <w:wordWrap w:val="0"/>
        <w:overflowPunct/>
        <w:topLinePunct w:val="0"/>
        <w:autoSpaceDE/>
        <w:autoSpaceDN/>
        <w:bidi w:val="0"/>
        <w:spacing w:beforeAutospacing="0" w:line="600" w:lineRule="exac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pStyle w:val="2"/>
        <w:keepNext w:val="0"/>
        <w:keepLines w:val="0"/>
        <w:pageBreakBefore w:val="0"/>
        <w:kinsoku/>
        <w:wordWrap w:val="0"/>
        <w:overflowPunct/>
        <w:topLinePunct w:val="0"/>
        <w:autoSpaceDE/>
        <w:autoSpaceDN/>
        <w:bidi w:val="0"/>
        <w:spacing w:beforeAutospacing="0" w:line="600" w:lineRule="exac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        许昌市财源开发建设有限公司</w:t>
      </w:r>
    </w:p>
    <w:p>
      <w:pPr>
        <w:pStyle w:val="5"/>
        <w:keepNext w:val="0"/>
        <w:keepLines w:val="0"/>
        <w:pageBreakBefore w:val="0"/>
        <w:kinsoku/>
        <w:wordWrap w:val="0"/>
        <w:overflowPunct/>
        <w:topLinePunct w:val="0"/>
        <w:autoSpaceDE/>
        <w:autoSpaceDN/>
        <w:bidi w:val="0"/>
        <w:spacing w:beforeAutospacing="0" w:line="600" w:lineRule="exact"/>
        <w:textAlignment w:val="auto"/>
        <w:rPr>
          <w:rFonts w:hint="default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             2021年1月26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日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600" w:lineRule="exac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br w:type="page"/>
      </w:r>
    </w:p>
    <w:p>
      <w:pPr>
        <w:pStyle w:val="2"/>
        <w:ind w:left="0" w:leftChars="0" w:firstLine="0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附件一：</w:t>
      </w:r>
    </w:p>
    <w:tbl>
      <w:tblPr>
        <w:tblStyle w:val="9"/>
        <w:tblW w:w="8493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198"/>
        <w:gridCol w:w="1141"/>
        <w:gridCol w:w="2691"/>
        <w:gridCol w:w="146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12" w:hRule="atLeast"/>
          <w:jc w:val="center"/>
        </w:trPr>
        <w:tc>
          <w:tcPr>
            <w:tcW w:w="8493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widowControl/>
              <w:wordWrap/>
              <w:adjustRightInd w:val="0"/>
              <w:snapToGrid w:val="0"/>
              <w:ind w:left="0" w:firstLine="0"/>
              <w:jc w:val="center"/>
              <w:textAlignment w:val="baseline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36"/>
                <w:szCs w:val="36"/>
              </w:rPr>
              <w:t>采购询价单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36"/>
                <w:szCs w:val="36"/>
              </w:rPr>
              <w:br w:type="textWrapping"/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  <w:jc w:val="center"/>
        </w:trPr>
        <w:tc>
          <w:tcPr>
            <w:tcW w:w="8493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widowControl/>
              <w:spacing w:line="300" w:lineRule="atLeast"/>
              <w:jc w:val="left"/>
              <w:textAlignment w:val="baseline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投标人须知：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14" w:hRule="atLeast"/>
          <w:jc w:val="center"/>
        </w:trPr>
        <w:tc>
          <w:tcPr>
            <w:tcW w:w="8493" w:type="dxa"/>
            <w:gridSpan w:val="4"/>
            <w:tcBorders>
              <w:top w:val="nil"/>
              <w:left w:val="nil"/>
              <w:bottom w:val="single" w:color="auto" w:sz="8" w:space="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widowControl/>
              <w:spacing w:line="300" w:lineRule="atLeast"/>
              <w:ind w:firstLine="480"/>
              <w:jc w:val="left"/>
              <w:textAlignment w:val="baseline"/>
              <w:rPr>
                <w:rFonts w:hint="eastAsia" w:ascii="Calibri" w:hAnsi="Calibri" w:eastAsia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1、投标报价为一次性的，不得二次修改； 2、投标人应在报价单上注明公司全称，由法定代表人或其授权代表人签字并加盖公章；3、投标报价单不允许在传真纸上填写；4、中标方与采购方签订采购合同；5、报价单必须按各栏目认真填写，不准漏项，不得涂改；6、如果不能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eastAsia="zh-CN"/>
              </w:rPr>
              <w:t>按照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要求或者超过规定报送时间将被取消投标资格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1" w:hRule="atLeast"/>
          <w:jc w:val="center"/>
        </w:trPr>
        <w:tc>
          <w:tcPr>
            <w:tcW w:w="319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textAlignment w:val="baseline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名称</w:t>
            </w:r>
          </w:p>
          <w:p>
            <w:pPr>
              <w:widowControl/>
              <w:spacing w:line="300" w:lineRule="atLeast"/>
              <w:jc w:val="center"/>
              <w:textAlignment w:val="baseline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规格</w:t>
            </w:r>
          </w:p>
        </w:tc>
        <w:tc>
          <w:tcPr>
            <w:tcW w:w="11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textAlignment w:val="baseline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数量</w:t>
            </w:r>
          </w:p>
        </w:tc>
        <w:tc>
          <w:tcPr>
            <w:tcW w:w="269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textAlignment w:val="baseline"/>
              <w:rPr>
                <w:rFonts w:hint="eastAsia" w:ascii="Calibri" w:hAnsi="Calibri" w:eastAsia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报价</w:t>
            </w: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  <w:lang w:eastAsia="zh-CN"/>
              </w:rPr>
              <w:t>（总价）</w:t>
            </w:r>
          </w:p>
        </w:tc>
        <w:tc>
          <w:tcPr>
            <w:tcW w:w="146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textAlignment w:val="baseline"/>
              <w:rPr>
                <w:rFonts w:hint="eastAsia" w:ascii="Calibri" w:hAnsi="Calibri" w:eastAsia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  <w:lang w:eastAsia="zh-CN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0" w:hRule="atLeast"/>
          <w:jc w:val="center"/>
        </w:trPr>
        <w:tc>
          <w:tcPr>
            <w:tcW w:w="319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left"/>
              <w:textAlignment w:val="baseline"/>
              <w:rPr>
                <w:rFonts w:hint="default" w:ascii="Calibri" w:hAnsi="Calibri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许昌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市智慧信息产业园公寓楼餐具及厨房杂件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项目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textAlignment w:val="baseline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26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textAlignment w:val="baseline"/>
              <w:rPr>
                <w:rFonts w:ascii="Calibri" w:hAnsi="Calibri" w:eastAsia="宋体" w:cs="宋体"/>
                <w:kern w:val="0"/>
                <w:szCs w:val="21"/>
              </w:rPr>
            </w:pPr>
          </w:p>
        </w:tc>
        <w:tc>
          <w:tcPr>
            <w:tcW w:w="14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both"/>
              <w:textAlignment w:val="baseline"/>
              <w:rPr>
                <w:rFonts w:hint="default" w:ascii="Calibri" w:hAnsi="Calibri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cs="宋体"/>
                <w:kern w:val="0"/>
                <w:szCs w:val="21"/>
                <w:lang w:val="en-US" w:eastAsia="zh-CN"/>
              </w:rPr>
              <w:t>附报价清单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8" w:hRule="atLeast"/>
          <w:jc w:val="center"/>
        </w:trPr>
        <w:tc>
          <w:tcPr>
            <w:tcW w:w="8493" w:type="dxa"/>
            <w:gridSpan w:val="4"/>
            <w:tcBorders>
              <w:top w:val="single" w:color="auto" w:sz="8" w:space="0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ind w:firstLine="480" w:firstLineChars="200"/>
              <w:jc w:val="left"/>
              <w:textAlignment w:val="baseline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注：报价人须在20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21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年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月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29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日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17:00时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前将报价单密封报至许昌市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eastAsia="zh-CN"/>
              </w:rPr>
              <w:t>财源开发建设有限公司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56" w:hRule="atLeast"/>
          <w:jc w:val="center"/>
        </w:trPr>
        <w:tc>
          <w:tcPr>
            <w:tcW w:w="319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textAlignment w:val="baseline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300" w:lineRule="atLeast"/>
              <w:jc w:val="center"/>
              <w:textAlignment w:val="baseline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300" w:lineRule="atLeast"/>
              <w:jc w:val="center"/>
              <w:textAlignment w:val="baseline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询价人：</w:t>
            </w:r>
          </w:p>
          <w:p>
            <w:pPr>
              <w:widowControl/>
              <w:spacing w:line="300" w:lineRule="atLeast"/>
              <w:jc w:val="center"/>
              <w:textAlignment w:val="baseline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许昌市财源开发建设</w:t>
            </w:r>
          </w:p>
          <w:p>
            <w:pPr>
              <w:widowControl/>
              <w:spacing w:line="300" w:lineRule="atLeast"/>
              <w:jc w:val="center"/>
              <w:textAlignment w:val="baseline"/>
              <w:rPr>
                <w:rFonts w:hint="eastAsia" w:ascii="Calibri" w:hAnsi="Calibri" w:eastAsia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有限公司</w:t>
            </w:r>
          </w:p>
          <w:p>
            <w:pPr>
              <w:widowControl/>
              <w:spacing w:line="300" w:lineRule="atLeast"/>
              <w:jc w:val="both"/>
              <w:textAlignment w:val="baseline"/>
              <w:rPr>
                <w:rFonts w:ascii="Calibri" w:hAnsi="Calibri" w:eastAsia="宋体" w:cs="宋体"/>
                <w:kern w:val="0"/>
                <w:szCs w:val="21"/>
              </w:rPr>
            </w:pPr>
          </w:p>
        </w:tc>
        <w:tc>
          <w:tcPr>
            <w:tcW w:w="529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line="300" w:lineRule="atLeast"/>
              <w:jc w:val="center"/>
              <w:textAlignment w:val="baseline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报价人（签字盖章）：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319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left"/>
              <w:textAlignment w:val="baseline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</w:p>
          <w:p>
            <w:pPr>
              <w:widowControl/>
              <w:spacing w:line="300" w:lineRule="atLeast"/>
              <w:jc w:val="left"/>
              <w:textAlignment w:val="baseline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</w:p>
          <w:p>
            <w:pPr>
              <w:widowControl/>
              <w:spacing w:line="300" w:lineRule="atLeast"/>
              <w:jc w:val="left"/>
              <w:textAlignment w:val="baseline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报价人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联系电话：</w:t>
            </w:r>
          </w:p>
          <w:p>
            <w:pPr>
              <w:widowControl/>
              <w:spacing w:line="300" w:lineRule="atLeast"/>
              <w:jc w:val="left"/>
              <w:textAlignment w:val="baseline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529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textAlignment w:val="baseline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300" w:lineRule="atLeast"/>
              <w:jc w:val="center"/>
              <w:textAlignment w:val="baseline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300" w:lineRule="atLeast"/>
              <w:ind w:firstLine="1200" w:firstLineChars="500"/>
              <w:jc w:val="both"/>
              <w:textAlignment w:val="baseline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20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21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年 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 月 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 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日</w:t>
            </w:r>
          </w:p>
        </w:tc>
      </w:tr>
    </w:tbl>
    <w:p>
      <w:pPr>
        <w:autoSpaceDE w:val="0"/>
        <w:autoSpaceDN w:val="0"/>
        <w:adjustRightInd w:val="0"/>
        <w:spacing w:line="360" w:lineRule="auto"/>
        <w:jc w:val="left"/>
        <w:outlineLvl w:val="0"/>
        <w:rPr>
          <w:rFonts w:hint="eastAsia" w:ascii="宋体" w:hAnsi="宋体" w:cs="Times New Roman"/>
          <w:b w:val="0"/>
          <w:bCs w:val="0"/>
          <w:color w:val="auto"/>
          <w:sz w:val="28"/>
          <w:szCs w:val="28"/>
          <w:lang w:eastAsia="zh-CN"/>
        </w:rPr>
      </w:pPr>
    </w:p>
    <w:p>
      <w:pPr>
        <w:autoSpaceDE w:val="0"/>
        <w:autoSpaceDN w:val="0"/>
        <w:adjustRightInd w:val="0"/>
        <w:spacing w:line="360" w:lineRule="auto"/>
        <w:jc w:val="left"/>
        <w:outlineLvl w:val="0"/>
        <w:rPr>
          <w:rFonts w:hint="eastAsia" w:ascii="宋体" w:hAnsi="宋体" w:cs="Times New Roman"/>
          <w:b w:val="0"/>
          <w:bCs w:val="0"/>
          <w:color w:val="auto"/>
          <w:sz w:val="28"/>
          <w:szCs w:val="28"/>
          <w:lang w:eastAsia="zh-CN"/>
        </w:rPr>
      </w:pPr>
    </w:p>
    <w:p>
      <w:pPr>
        <w:autoSpaceDE w:val="0"/>
        <w:autoSpaceDN w:val="0"/>
        <w:adjustRightInd w:val="0"/>
        <w:spacing w:line="360" w:lineRule="auto"/>
        <w:jc w:val="left"/>
        <w:outlineLvl w:val="0"/>
        <w:rPr>
          <w:rFonts w:hint="eastAsia" w:ascii="宋体" w:hAnsi="宋体" w:cs="Times New Roman"/>
          <w:b w:val="0"/>
          <w:bCs w:val="0"/>
          <w:color w:val="auto"/>
          <w:sz w:val="28"/>
          <w:szCs w:val="28"/>
          <w:lang w:eastAsia="zh-CN"/>
        </w:rPr>
      </w:pPr>
    </w:p>
    <w:p>
      <w:pPr>
        <w:pStyle w:val="2"/>
        <w:rPr>
          <w:rFonts w:hint="eastAsia"/>
          <w:lang w:eastAsia="zh-CN"/>
        </w:rPr>
      </w:pPr>
    </w:p>
    <w:p>
      <w:pPr>
        <w:pStyle w:val="5"/>
        <w:rPr>
          <w:rFonts w:hint="eastAsia"/>
          <w:lang w:eastAsia="zh-CN"/>
        </w:rPr>
      </w:pPr>
    </w:p>
    <w:p>
      <w:pPr>
        <w:autoSpaceDE w:val="0"/>
        <w:autoSpaceDN w:val="0"/>
        <w:adjustRightInd w:val="0"/>
        <w:spacing w:line="360" w:lineRule="auto"/>
        <w:jc w:val="left"/>
        <w:outlineLvl w:val="0"/>
        <w:rPr>
          <w:rFonts w:hint="eastAsia" w:ascii="宋体" w:hAnsi="宋体" w:cs="Times New Roman"/>
          <w:b w:val="0"/>
          <w:bCs w:val="0"/>
          <w:color w:val="auto"/>
          <w:sz w:val="28"/>
          <w:szCs w:val="28"/>
          <w:lang w:eastAsia="zh-CN"/>
        </w:rPr>
      </w:pPr>
      <w:r>
        <w:rPr>
          <w:rFonts w:hint="eastAsia" w:ascii="宋体" w:hAnsi="宋体" w:cs="Times New Roman"/>
          <w:b w:val="0"/>
          <w:bCs w:val="0"/>
          <w:color w:val="auto"/>
          <w:sz w:val="28"/>
          <w:szCs w:val="28"/>
          <w:lang w:eastAsia="zh-CN"/>
        </w:rPr>
        <w:t>附件二：</w:t>
      </w:r>
    </w:p>
    <w:p>
      <w:pPr>
        <w:autoSpaceDE w:val="0"/>
        <w:autoSpaceDN w:val="0"/>
        <w:adjustRightInd w:val="0"/>
        <w:spacing w:line="360" w:lineRule="auto"/>
        <w:jc w:val="center"/>
        <w:outlineLvl w:val="0"/>
        <w:rPr>
          <w:rFonts w:ascii="宋体" w:hAnsi="宋体" w:eastAsia="宋体" w:cs="Times New Roman"/>
          <w:b/>
          <w:bCs/>
          <w:color w:val="auto"/>
          <w:sz w:val="24"/>
          <w:szCs w:val="24"/>
        </w:rPr>
      </w:pPr>
      <w:r>
        <w:rPr>
          <w:rFonts w:hint="eastAsia" w:ascii="宋体" w:hAnsi="宋体" w:eastAsia="宋体" w:cs="Times New Roman"/>
          <w:b/>
          <w:bCs/>
          <w:color w:val="auto"/>
          <w:sz w:val="36"/>
          <w:szCs w:val="36"/>
        </w:rPr>
        <w:t xml:space="preserve"> 投标承诺函</w:t>
      </w:r>
    </w:p>
    <w:p>
      <w:pPr>
        <w:autoSpaceDE w:val="0"/>
        <w:autoSpaceDN w:val="0"/>
        <w:snapToGrid w:val="0"/>
        <w:spacing w:line="360" w:lineRule="auto"/>
        <w:jc w:val="center"/>
        <w:rPr>
          <w:rFonts w:ascii="宋体" w:hAnsi="宋体" w:eastAsia="宋体" w:cs="Times New Roman"/>
          <w:b/>
          <w:bCs/>
          <w:color w:val="auto"/>
          <w:sz w:val="24"/>
          <w:szCs w:val="24"/>
        </w:rPr>
      </w:pPr>
    </w:p>
    <w:p>
      <w:pPr>
        <w:spacing w:beforeLines="50" w:afterLines="50" w:line="360" w:lineRule="auto"/>
        <w:contextualSpacing/>
        <w:rPr>
          <w:rFonts w:ascii="宋体" w:hAnsi="宋体" w:eastAsia="宋体" w:cs="宋体"/>
          <w:color w:val="auto"/>
          <w:sz w:val="24"/>
          <w:szCs w:val="24"/>
          <w:lang w:val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lang w:val="zh-CN"/>
        </w:rPr>
        <w:t>许昌市财源开发建设有限公司（采购人）</w:t>
      </w:r>
      <w:r>
        <w:rPr>
          <w:rFonts w:ascii="宋体" w:hAnsi="宋体" w:eastAsia="宋体" w:cs="宋体"/>
          <w:color w:val="auto"/>
          <w:sz w:val="24"/>
          <w:szCs w:val="24"/>
          <w:lang w:val="zh-CN"/>
        </w:rPr>
        <w:t>：</w:t>
      </w:r>
    </w:p>
    <w:p>
      <w:pPr>
        <w:spacing w:beforeLines="50" w:afterLines="50" w:line="360" w:lineRule="auto"/>
        <w:ind w:firstLine="480" w:firstLineChars="200"/>
        <w:contextualSpacing/>
        <w:rPr>
          <w:rFonts w:ascii="宋体" w:hAnsi="宋体" w:eastAsia="宋体" w:cs="宋体"/>
          <w:color w:val="auto"/>
          <w:sz w:val="24"/>
          <w:szCs w:val="24"/>
          <w:lang w:val="zh-CN"/>
        </w:rPr>
      </w:pPr>
      <w:r>
        <w:rPr>
          <w:rFonts w:ascii="宋体" w:hAnsi="宋体" w:eastAsia="宋体" w:cs="宋体"/>
          <w:color w:val="auto"/>
          <w:sz w:val="24"/>
          <w:szCs w:val="24"/>
          <w:lang w:val="zh-CN"/>
        </w:rPr>
        <w:t>经研究，我</w:t>
      </w:r>
      <w:r>
        <w:rPr>
          <w:rFonts w:hint="eastAsia" w:ascii="宋体" w:hAnsi="宋体" w:eastAsia="宋体" w:cs="宋体"/>
          <w:color w:val="auto"/>
          <w:sz w:val="24"/>
          <w:szCs w:val="24"/>
          <w:lang w:val="zh-CN"/>
        </w:rPr>
        <w:t>方自愿参与贵方</w:t>
      </w:r>
      <w:r>
        <w:rPr>
          <w:rFonts w:hint="eastAsia" w:ascii="宋体" w:hAnsi="宋体" w:eastAsia="宋体" w:cs="宋体"/>
          <w:kern w:val="0"/>
          <w:sz w:val="24"/>
          <w:szCs w:val="24"/>
          <w:u w:val="single"/>
          <w:lang w:eastAsia="zh-CN"/>
        </w:rPr>
        <w:t>许昌</w:t>
      </w:r>
      <w:r>
        <w:rPr>
          <w:rFonts w:hint="eastAsia" w:ascii="宋体" w:hAnsi="宋体" w:eastAsia="宋体" w:cs="宋体"/>
          <w:kern w:val="0"/>
          <w:sz w:val="24"/>
          <w:szCs w:val="24"/>
          <w:u w:val="single"/>
          <w:lang w:val="en-US" w:eastAsia="zh-CN"/>
        </w:rPr>
        <w:t>市智慧信息产业园公寓楼餐具及厨房杂件</w:t>
      </w:r>
      <w:r>
        <w:rPr>
          <w:rFonts w:hint="eastAsia" w:ascii="宋体" w:hAnsi="宋体" w:eastAsia="宋体" w:cs="宋体"/>
          <w:kern w:val="0"/>
          <w:sz w:val="24"/>
          <w:szCs w:val="24"/>
          <w:u w:val="single"/>
          <w:lang w:eastAsia="zh-CN"/>
        </w:rPr>
        <w:t>项目</w:t>
      </w:r>
      <w:r>
        <w:rPr>
          <w:rFonts w:hint="eastAsia" w:ascii="宋体" w:hAnsi="宋体" w:eastAsia="宋体" w:cs="宋体"/>
          <w:color w:val="auto"/>
          <w:sz w:val="24"/>
          <w:szCs w:val="24"/>
          <w:lang w:val="zh-CN"/>
        </w:rPr>
        <w:t>（项目名称）的</w:t>
      </w:r>
      <w:r>
        <w:rPr>
          <w:rFonts w:ascii="宋体" w:hAnsi="宋体" w:eastAsia="宋体" w:cs="宋体"/>
          <w:color w:val="auto"/>
          <w:sz w:val="24"/>
          <w:szCs w:val="24"/>
          <w:lang w:val="zh-CN"/>
        </w:rPr>
        <w:t>投标，</w:t>
      </w:r>
      <w:r>
        <w:rPr>
          <w:rFonts w:hint="eastAsia" w:ascii="宋体" w:hAnsi="宋体" w:eastAsia="宋体" w:cs="宋体"/>
          <w:color w:val="auto"/>
          <w:sz w:val="24"/>
          <w:szCs w:val="24"/>
          <w:lang w:val="zh-CN"/>
        </w:rPr>
        <w:t>将</w:t>
      </w:r>
      <w:r>
        <w:rPr>
          <w:rFonts w:ascii="宋体" w:hAnsi="宋体" w:eastAsia="宋体" w:cs="宋体"/>
          <w:color w:val="auto"/>
          <w:sz w:val="24"/>
          <w:szCs w:val="24"/>
          <w:lang w:val="zh-CN"/>
        </w:rPr>
        <w:t>严格</w:t>
      </w:r>
      <w:r>
        <w:rPr>
          <w:rFonts w:hint="eastAsia" w:ascii="宋体" w:hAnsi="宋体" w:eastAsia="宋体" w:cs="宋体"/>
          <w:color w:val="auto"/>
          <w:sz w:val="24"/>
          <w:szCs w:val="24"/>
          <w:lang w:val="zh-CN"/>
        </w:rPr>
        <w:t>遵守</w:t>
      </w:r>
      <w:r>
        <w:rPr>
          <w:rFonts w:ascii="宋体" w:hAnsi="宋体" w:eastAsia="宋体" w:cs="宋体"/>
          <w:color w:val="auto"/>
          <w:sz w:val="24"/>
          <w:szCs w:val="24"/>
          <w:lang w:val="zh-CN"/>
        </w:rPr>
        <w:t>《</w:t>
      </w:r>
      <w:r>
        <w:rPr>
          <w:rFonts w:hint="eastAsia" w:ascii="宋体" w:hAnsi="宋体" w:eastAsia="宋体" w:cs="宋体"/>
          <w:color w:val="auto"/>
          <w:sz w:val="24"/>
          <w:szCs w:val="24"/>
          <w:lang w:val="zh-CN"/>
        </w:rPr>
        <w:t>中华人民共和国政府采购</w:t>
      </w:r>
      <w:r>
        <w:rPr>
          <w:rFonts w:ascii="宋体" w:hAnsi="宋体" w:eastAsia="宋体" w:cs="宋体"/>
          <w:color w:val="auto"/>
          <w:sz w:val="24"/>
          <w:szCs w:val="24"/>
          <w:lang w:val="zh-CN"/>
        </w:rPr>
        <w:t>法》等</w:t>
      </w:r>
      <w:r>
        <w:rPr>
          <w:rFonts w:hint="eastAsia" w:ascii="宋体" w:hAnsi="宋体" w:eastAsia="宋体" w:cs="宋体"/>
          <w:color w:val="auto"/>
          <w:sz w:val="24"/>
          <w:szCs w:val="24"/>
          <w:lang w:val="zh-CN"/>
        </w:rPr>
        <w:t>相关</w:t>
      </w:r>
      <w:r>
        <w:rPr>
          <w:rFonts w:ascii="宋体" w:hAnsi="宋体" w:eastAsia="宋体" w:cs="宋体"/>
          <w:color w:val="auto"/>
          <w:sz w:val="24"/>
          <w:szCs w:val="24"/>
          <w:lang w:val="zh-CN"/>
        </w:rPr>
        <w:t>法律法规</w:t>
      </w:r>
      <w:r>
        <w:rPr>
          <w:rFonts w:hint="eastAsia" w:ascii="宋体" w:hAnsi="宋体" w:eastAsia="宋体" w:cs="宋体"/>
          <w:color w:val="auto"/>
          <w:sz w:val="24"/>
          <w:szCs w:val="24"/>
          <w:lang w:val="zh-CN"/>
        </w:rPr>
        <w:t>规定</w:t>
      </w:r>
      <w:r>
        <w:rPr>
          <w:rFonts w:ascii="宋体" w:hAnsi="宋体" w:eastAsia="宋体" w:cs="宋体"/>
          <w:color w:val="auto"/>
          <w:sz w:val="24"/>
          <w:szCs w:val="24"/>
          <w:lang w:val="zh-CN"/>
        </w:rPr>
        <w:t>，并无条件地遵守本次采购活动各项规定。我们郑重承诺：</w:t>
      </w:r>
      <w:r>
        <w:rPr>
          <w:rFonts w:hint="eastAsia" w:ascii="宋体" w:hAnsi="宋体" w:eastAsia="宋体" w:cs="宋体"/>
          <w:color w:val="auto"/>
          <w:sz w:val="24"/>
          <w:szCs w:val="24"/>
          <w:lang w:val="zh-CN"/>
        </w:rPr>
        <w:t>我方</w:t>
      </w:r>
      <w:r>
        <w:rPr>
          <w:rFonts w:ascii="宋体" w:hAnsi="宋体" w:eastAsia="宋体" w:cs="宋体"/>
          <w:color w:val="auto"/>
          <w:sz w:val="24"/>
          <w:szCs w:val="24"/>
          <w:lang w:val="zh-CN"/>
        </w:rPr>
        <w:t>如果在本次</w:t>
      </w:r>
      <w:r>
        <w:rPr>
          <w:rFonts w:hint="eastAsia" w:ascii="宋体" w:hAnsi="宋体" w:eastAsia="宋体" w:cs="宋体"/>
          <w:color w:val="auto"/>
          <w:sz w:val="24"/>
          <w:szCs w:val="24"/>
          <w:lang w:val="zh-CN"/>
        </w:rPr>
        <w:t>投标</w:t>
      </w:r>
      <w:r>
        <w:rPr>
          <w:rFonts w:ascii="宋体" w:hAnsi="宋体" w:eastAsia="宋体" w:cs="宋体"/>
          <w:color w:val="auto"/>
          <w:sz w:val="24"/>
          <w:szCs w:val="24"/>
          <w:lang w:val="zh-CN"/>
        </w:rPr>
        <w:t>活动中有</w:t>
      </w:r>
      <w:r>
        <w:rPr>
          <w:rFonts w:hint="eastAsia" w:ascii="宋体" w:hAnsi="宋体" w:eastAsia="宋体" w:cs="宋体"/>
          <w:color w:val="auto"/>
          <w:sz w:val="24"/>
          <w:szCs w:val="24"/>
          <w:lang w:val="zh-CN"/>
        </w:rPr>
        <w:t>下列</w:t>
      </w:r>
      <w:r>
        <w:rPr>
          <w:rFonts w:ascii="宋体" w:hAnsi="宋体" w:eastAsia="宋体" w:cs="宋体"/>
          <w:color w:val="auto"/>
          <w:sz w:val="24"/>
          <w:szCs w:val="24"/>
          <w:lang w:val="zh-CN"/>
        </w:rPr>
        <w:t>情形</w:t>
      </w:r>
      <w:r>
        <w:rPr>
          <w:rFonts w:hint="eastAsia" w:ascii="宋体" w:hAnsi="宋体" w:eastAsia="宋体" w:cs="宋体"/>
          <w:color w:val="auto"/>
          <w:sz w:val="24"/>
          <w:szCs w:val="24"/>
          <w:lang w:val="zh-CN"/>
        </w:rPr>
        <w:t>之一</w:t>
      </w:r>
      <w:r>
        <w:rPr>
          <w:rFonts w:ascii="宋体" w:hAnsi="宋体" w:eastAsia="宋体" w:cs="宋体"/>
          <w:color w:val="auto"/>
          <w:sz w:val="24"/>
          <w:szCs w:val="24"/>
          <w:lang w:val="zh-CN"/>
        </w:rPr>
        <w:t>的，</w:t>
      </w:r>
      <w:r>
        <w:rPr>
          <w:rFonts w:hint="eastAsia" w:ascii="宋体" w:hAnsi="宋体" w:cs="宋体"/>
          <w:color w:val="auto"/>
          <w:sz w:val="24"/>
          <w:szCs w:val="24"/>
          <w:lang w:val="zh-CN"/>
        </w:rPr>
        <w:t>视为</w:t>
      </w:r>
      <w:r>
        <w:rPr>
          <w:rFonts w:hint="eastAsia" w:ascii="宋体" w:hAnsi="宋体" w:eastAsia="宋体" w:cs="宋体"/>
          <w:color w:val="auto"/>
          <w:sz w:val="24"/>
          <w:szCs w:val="24"/>
          <w:lang w:val="zh-CN"/>
        </w:rPr>
        <w:t>投标行为无效，若中标则自愿放弃中标资格</w:t>
      </w:r>
      <w:r>
        <w:rPr>
          <w:rFonts w:hint="eastAsia" w:ascii="宋体" w:hAnsi="宋体" w:cs="宋体"/>
          <w:color w:val="auto"/>
          <w:sz w:val="24"/>
          <w:szCs w:val="24"/>
          <w:lang w:val="zh-CN"/>
        </w:rPr>
        <w:t>，同时</w:t>
      </w:r>
      <w:r>
        <w:rPr>
          <w:rFonts w:ascii="宋体" w:hAnsi="宋体" w:eastAsia="宋体" w:cs="宋体"/>
          <w:color w:val="auto"/>
          <w:sz w:val="24"/>
          <w:szCs w:val="24"/>
          <w:lang w:val="zh-CN"/>
        </w:rPr>
        <w:t>接受政府采购</w:t>
      </w:r>
      <w:r>
        <w:rPr>
          <w:rFonts w:hint="eastAsia" w:ascii="宋体" w:hAnsi="宋体" w:eastAsia="宋体" w:cs="宋体"/>
          <w:color w:val="auto"/>
          <w:sz w:val="24"/>
          <w:szCs w:val="24"/>
          <w:lang w:val="zh-CN"/>
        </w:rPr>
        <w:t>监督管理</w:t>
      </w:r>
      <w:r>
        <w:rPr>
          <w:rFonts w:ascii="宋体" w:hAnsi="宋体" w:eastAsia="宋体" w:cs="宋体"/>
          <w:color w:val="auto"/>
          <w:sz w:val="24"/>
          <w:szCs w:val="24"/>
          <w:lang w:val="zh-CN"/>
        </w:rPr>
        <w:t>部门给予相关处罚并</w:t>
      </w:r>
      <w:r>
        <w:rPr>
          <w:rFonts w:hint="eastAsia" w:ascii="宋体" w:hAnsi="宋体" w:eastAsia="宋体" w:cs="宋体"/>
          <w:color w:val="auto"/>
          <w:sz w:val="24"/>
          <w:szCs w:val="24"/>
          <w:lang w:val="zh-CN"/>
        </w:rPr>
        <w:t>承诺依法</w:t>
      </w:r>
      <w:r>
        <w:rPr>
          <w:rFonts w:ascii="宋体" w:hAnsi="宋体" w:eastAsia="宋体" w:cs="宋体"/>
          <w:color w:val="auto"/>
          <w:sz w:val="24"/>
          <w:szCs w:val="24"/>
          <w:lang w:val="zh-CN"/>
        </w:rPr>
        <w:t>承担</w:t>
      </w:r>
      <w:r>
        <w:rPr>
          <w:rFonts w:hint="eastAsia" w:ascii="宋体" w:hAnsi="宋体" w:eastAsia="宋体" w:cs="宋体"/>
          <w:color w:val="auto"/>
          <w:sz w:val="24"/>
          <w:szCs w:val="24"/>
          <w:lang w:val="zh-CN"/>
        </w:rPr>
        <w:t>相关的经济赔偿责任和</w:t>
      </w:r>
      <w:r>
        <w:rPr>
          <w:rFonts w:ascii="宋体" w:hAnsi="宋体" w:eastAsia="宋体" w:cs="宋体"/>
          <w:color w:val="auto"/>
          <w:sz w:val="24"/>
          <w:szCs w:val="24"/>
          <w:lang w:val="zh-CN"/>
        </w:rPr>
        <w:t>法律责任。</w:t>
      </w:r>
    </w:p>
    <w:p>
      <w:pPr>
        <w:spacing w:beforeLines="50" w:afterLines="50" w:line="360" w:lineRule="auto"/>
        <w:ind w:firstLine="480" w:firstLineChars="200"/>
        <w:contextualSpacing/>
        <w:rPr>
          <w:rFonts w:ascii="宋体" w:hAnsi="宋体" w:eastAsia="宋体" w:cs="宋体"/>
          <w:color w:val="auto"/>
          <w:sz w:val="24"/>
          <w:szCs w:val="24"/>
          <w:lang w:val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lang w:val="zh-CN"/>
        </w:rPr>
        <w:t>一、在投标有效期内撤销响应文件；</w:t>
      </w:r>
    </w:p>
    <w:p>
      <w:pPr>
        <w:spacing w:beforeLines="50" w:afterLines="50" w:line="360" w:lineRule="auto"/>
        <w:ind w:firstLine="480" w:firstLineChars="200"/>
        <w:contextualSpacing/>
        <w:rPr>
          <w:rFonts w:ascii="宋体" w:hAnsi="宋体" w:eastAsia="宋体" w:cs="宋体"/>
          <w:color w:val="auto"/>
          <w:sz w:val="24"/>
          <w:szCs w:val="24"/>
          <w:lang w:val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lang w:val="zh-CN"/>
        </w:rPr>
        <w:t>二、在投标文件中提供虚假材料；</w:t>
      </w:r>
    </w:p>
    <w:p>
      <w:pPr>
        <w:spacing w:beforeLines="50" w:afterLines="50" w:line="360" w:lineRule="auto"/>
        <w:ind w:firstLine="480" w:firstLineChars="200"/>
        <w:contextualSpacing/>
        <w:rPr>
          <w:rFonts w:ascii="宋体" w:hAnsi="宋体" w:eastAsia="宋体" w:cs="宋体"/>
          <w:color w:val="auto"/>
          <w:sz w:val="24"/>
          <w:szCs w:val="24"/>
          <w:lang w:val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lang w:val="zh-CN"/>
        </w:rPr>
        <w:t>三、除因不可抗力或谈判文件认可的情形以外，中标后不与采购人签订合同；</w:t>
      </w:r>
    </w:p>
    <w:p>
      <w:pPr>
        <w:spacing w:beforeLines="50" w:afterLines="50" w:line="360" w:lineRule="auto"/>
        <w:ind w:firstLine="480" w:firstLineChars="200"/>
        <w:contextualSpacing/>
        <w:rPr>
          <w:rFonts w:ascii="宋体" w:hAnsi="宋体" w:eastAsia="宋体" w:cs="宋体"/>
          <w:color w:val="auto"/>
          <w:sz w:val="24"/>
          <w:szCs w:val="24"/>
          <w:lang w:val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lang w:val="zh-CN"/>
        </w:rPr>
        <w:t>四、与采购人、其他供应商或者采购代理机构恶意串通；</w:t>
      </w:r>
    </w:p>
    <w:p>
      <w:pPr>
        <w:spacing w:beforeLines="50" w:afterLines="50" w:line="360" w:lineRule="auto"/>
        <w:ind w:firstLine="480" w:firstLineChars="200"/>
        <w:contextualSpacing/>
        <w:rPr>
          <w:rFonts w:ascii="宋体" w:hAnsi="宋体" w:eastAsia="宋体" w:cs="宋体"/>
          <w:color w:val="auto"/>
          <w:sz w:val="24"/>
          <w:szCs w:val="24"/>
          <w:lang w:val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lang w:val="zh-CN"/>
        </w:rPr>
        <w:t>五、法律法规及本</w:t>
      </w:r>
      <w:r>
        <w:rPr>
          <w:rFonts w:hint="eastAsia" w:ascii="宋体" w:hAnsi="宋体" w:cs="宋体"/>
          <w:color w:val="auto"/>
          <w:sz w:val="24"/>
          <w:szCs w:val="24"/>
          <w:lang w:val="zh-CN"/>
        </w:rPr>
        <w:t>采购</w:t>
      </w:r>
      <w:r>
        <w:rPr>
          <w:rFonts w:hint="eastAsia" w:ascii="宋体" w:hAnsi="宋体" w:eastAsia="宋体" w:cs="宋体"/>
          <w:color w:val="auto"/>
          <w:sz w:val="24"/>
          <w:szCs w:val="24"/>
          <w:lang w:val="zh-CN"/>
        </w:rPr>
        <w:t>文件规定的其他严重违法行为。</w:t>
      </w:r>
    </w:p>
    <w:p>
      <w:pPr>
        <w:rPr>
          <w:rFonts w:ascii="Times New Roman" w:hAnsi="Times New Roman" w:eastAsia="宋体" w:cs="Times New Roman"/>
          <w:color w:val="auto"/>
          <w:sz w:val="24"/>
          <w:szCs w:val="24"/>
          <w:u w:val="single"/>
        </w:rPr>
      </w:pPr>
    </w:p>
    <w:p>
      <w:pPr>
        <w:rPr>
          <w:rFonts w:ascii="Times New Roman" w:hAnsi="Times New Roman" w:eastAsia="宋体" w:cs="Times New Roman"/>
          <w:color w:val="auto"/>
          <w:sz w:val="24"/>
          <w:szCs w:val="24"/>
          <w:u w:val="single"/>
        </w:rPr>
      </w:pPr>
    </w:p>
    <w:p>
      <w:pPr>
        <w:adjustRightInd w:val="0"/>
        <w:snapToGrid w:val="0"/>
        <w:spacing w:line="360" w:lineRule="auto"/>
        <w:ind w:firstLine="3600" w:firstLineChars="1500"/>
        <w:rPr>
          <w:rFonts w:ascii="宋体" w:hAnsi="宋体" w:eastAsia="宋体" w:cs="宋体"/>
          <w:color w:val="auto"/>
          <w:sz w:val="24"/>
          <w:szCs w:val="24"/>
        </w:rPr>
      </w:pPr>
      <w:r>
        <w:rPr>
          <w:rFonts w:hint="eastAsia" w:ascii="宋体" w:hAnsi="宋体" w:eastAsia="宋体" w:cs="宋体"/>
          <w:color w:val="auto"/>
          <w:sz w:val="24"/>
          <w:szCs w:val="24"/>
        </w:rPr>
        <w:t>供应商名称（并加盖公章）：</w:t>
      </w:r>
    </w:p>
    <w:p>
      <w:pPr>
        <w:adjustRightInd w:val="0"/>
        <w:snapToGrid w:val="0"/>
        <w:spacing w:line="360" w:lineRule="auto"/>
        <w:ind w:firstLine="4920" w:firstLineChars="2050"/>
        <w:rPr>
          <w:rFonts w:ascii="宋体" w:hAnsi="宋体" w:eastAsia="宋体" w:cs="宋体"/>
          <w:color w:val="auto"/>
          <w:sz w:val="24"/>
          <w:szCs w:val="24"/>
        </w:rPr>
      </w:pPr>
    </w:p>
    <w:p>
      <w:pPr>
        <w:adjustRightInd w:val="0"/>
        <w:snapToGrid w:val="0"/>
        <w:spacing w:line="360" w:lineRule="auto"/>
        <w:ind w:firstLine="4440" w:firstLineChars="1850"/>
        <w:rPr>
          <w:rFonts w:ascii="宋体" w:hAnsi="宋体" w:eastAsia="宋体" w:cs="宋体"/>
          <w:color w:val="auto"/>
          <w:sz w:val="24"/>
          <w:szCs w:val="24"/>
        </w:rPr>
      </w:pPr>
      <w:r>
        <w:rPr>
          <w:rFonts w:hint="eastAsia" w:ascii="宋体" w:hAnsi="宋体" w:eastAsia="宋体" w:cs="宋体"/>
          <w:color w:val="auto"/>
          <w:sz w:val="24"/>
          <w:szCs w:val="24"/>
        </w:rPr>
        <w:t>日期：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 xml:space="preserve">  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年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月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 xml:space="preserve">  </w:t>
      </w:r>
      <w:r>
        <w:rPr>
          <w:rFonts w:hint="eastAsia" w:ascii="宋体" w:hAnsi="宋体" w:eastAsia="宋体" w:cs="宋体"/>
          <w:color w:val="auto"/>
          <w:sz w:val="24"/>
          <w:szCs w:val="24"/>
        </w:rPr>
        <w:t xml:space="preserve"> 日</w:t>
      </w:r>
    </w:p>
    <w:p>
      <w:pPr>
        <w:autoSpaceDE w:val="0"/>
        <w:autoSpaceDN w:val="0"/>
        <w:adjustRightInd w:val="0"/>
        <w:spacing w:line="360" w:lineRule="auto"/>
        <w:jc w:val="center"/>
        <w:outlineLvl w:val="0"/>
        <w:rPr>
          <w:rFonts w:ascii="Times New Roman" w:hAnsi="宋体" w:eastAsia="宋体" w:cs="Times New Roman"/>
          <w:b/>
          <w:snapToGrid w:val="0"/>
          <w:color w:val="auto"/>
          <w:kern w:val="0"/>
          <w:sz w:val="36"/>
          <w:szCs w:val="36"/>
        </w:rPr>
      </w:pPr>
    </w:p>
    <w:p>
      <w:pPr>
        <w:pStyle w:val="5"/>
      </w:pPr>
    </w:p>
    <w:p>
      <w:pPr>
        <w:pStyle w:val="5"/>
      </w:pPr>
    </w:p>
    <w:sectPr>
      <w:pgSz w:w="11906" w:h="16838"/>
      <w:pgMar w:top="1383" w:right="1633" w:bottom="1383" w:left="163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565DD6E"/>
    <w:multiLevelType w:val="singleLevel"/>
    <w:tmpl w:val="C565DD6E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213E6388"/>
    <w:multiLevelType w:val="singleLevel"/>
    <w:tmpl w:val="213E6388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9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A5A065B"/>
    <w:rsid w:val="00112C44"/>
    <w:rsid w:val="009A72C7"/>
    <w:rsid w:val="00C96CEC"/>
    <w:rsid w:val="011D4691"/>
    <w:rsid w:val="04026F36"/>
    <w:rsid w:val="088840F9"/>
    <w:rsid w:val="09842509"/>
    <w:rsid w:val="0B555CEB"/>
    <w:rsid w:val="0BC03834"/>
    <w:rsid w:val="10C7166C"/>
    <w:rsid w:val="168B2E32"/>
    <w:rsid w:val="170B5F46"/>
    <w:rsid w:val="17950A61"/>
    <w:rsid w:val="1BAB727E"/>
    <w:rsid w:val="1DC8593B"/>
    <w:rsid w:val="1F221187"/>
    <w:rsid w:val="1F303B22"/>
    <w:rsid w:val="215C0A7C"/>
    <w:rsid w:val="23A26978"/>
    <w:rsid w:val="24DA152F"/>
    <w:rsid w:val="28E95BAE"/>
    <w:rsid w:val="294C5571"/>
    <w:rsid w:val="2AB20E6B"/>
    <w:rsid w:val="2C0E7C49"/>
    <w:rsid w:val="2DB63777"/>
    <w:rsid w:val="32FA33E2"/>
    <w:rsid w:val="376C500E"/>
    <w:rsid w:val="3A5F5F6F"/>
    <w:rsid w:val="3B821DD8"/>
    <w:rsid w:val="407055D6"/>
    <w:rsid w:val="43A442C6"/>
    <w:rsid w:val="43F73885"/>
    <w:rsid w:val="49EB6F4A"/>
    <w:rsid w:val="4B091138"/>
    <w:rsid w:val="4C161760"/>
    <w:rsid w:val="4C5D1B10"/>
    <w:rsid w:val="4CEF2724"/>
    <w:rsid w:val="4FDD0E7B"/>
    <w:rsid w:val="509318E3"/>
    <w:rsid w:val="51E011C4"/>
    <w:rsid w:val="53BB0720"/>
    <w:rsid w:val="5EA13181"/>
    <w:rsid w:val="60777BA1"/>
    <w:rsid w:val="614B4DF2"/>
    <w:rsid w:val="624B638D"/>
    <w:rsid w:val="62A9228E"/>
    <w:rsid w:val="632C4DC5"/>
    <w:rsid w:val="636F27D9"/>
    <w:rsid w:val="63A12BF9"/>
    <w:rsid w:val="66E30DC8"/>
    <w:rsid w:val="6A5A065B"/>
    <w:rsid w:val="6AC95EDC"/>
    <w:rsid w:val="6B4915D7"/>
    <w:rsid w:val="6C9A7CF7"/>
    <w:rsid w:val="71B115E4"/>
    <w:rsid w:val="72D05810"/>
    <w:rsid w:val="740C2D72"/>
    <w:rsid w:val="76FD4590"/>
    <w:rsid w:val="7A801A82"/>
    <w:rsid w:val="7BA238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iPriority="99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99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next w:val="5"/>
    <w:qFormat/>
    <w:uiPriority w:val="0"/>
    <w:pPr>
      <w:spacing w:line="312" w:lineRule="auto"/>
      <w:ind w:firstLine="420"/>
    </w:pPr>
  </w:style>
  <w:style w:type="paragraph" w:styleId="3">
    <w:name w:val="Body Text"/>
    <w:basedOn w:val="1"/>
    <w:next w:val="4"/>
    <w:qFormat/>
    <w:uiPriority w:val="99"/>
    <w:pPr>
      <w:spacing w:after="120" w:afterLines="0"/>
    </w:pPr>
  </w:style>
  <w:style w:type="paragraph" w:styleId="4">
    <w:name w:val="Body Text 2"/>
    <w:basedOn w:val="1"/>
    <w:qFormat/>
    <w:uiPriority w:val="0"/>
    <w:pPr>
      <w:spacing w:line="480" w:lineRule="auto"/>
    </w:pPr>
    <w:rPr>
      <w:rFonts w:ascii="Times New Roman" w:hAnsi="Times New Roman" w:eastAsia="宋体" w:cs="Times New Roman"/>
    </w:rPr>
  </w:style>
  <w:style w:type="paragraph" w:styleId="5">
    <w:name w:val="Body Text First Indent 2"/>
    <w:basedOn w:val="6"/>
    <w:qFormat/>
    <w:uiPriority w:val="0"/>
    <w:pPr>
      <w:adjustRightInd w:val="0"/>
      <w:snapToGrid w:val="0"/>
      <w:spacing w:beforeAutospacing="1" w:afterAutospacing="1" w:line="360" w:lineRule="auto"/>
      <w:ind w:left="480" w:firstLine="562" w:firstLineChars="200"/>
      <w:jc w:val="left"/>
    </w:pPr>
    <w:rPr>
      <w:rFonts w:hint="eastAsia" w:ascii="仿宋_GB2312" w:hAnsi="仿宋_GB2312" w:cs="Times New Roman"/>
      <w:szCs w:val="30"/>
      <w:lang w:eastAsia="en-US"/>
    </w:rPr>
  </w:style>
  <w:style w:type="paragraph" w:styleId="6">
    <w:name w:val="Body Text Indent"/>
    <w:basedOn w:val="1"/>
    <w:next w:val="7"/>
    <w:qFormat/>
    <w:uiPriority w:val="99"/>
    <w:pPr>
      <w:spacing w:after="120"/>
      <w:ind w:left="420" w:leftChars="200"/>
    </w:pPr>
  </w:style>
  <w:style w:type="paragraph" w:styleId="7">
    <w:name w:val="envelope return"/>
    <w:unhideWhenUsed/>
    <w:qFormat/>
    <w:uiPriority w:val="99"/>
    <w:pPr>
      <w:widowControl w:val="0"/>
      <w:snapToGrid w:val="0"/>
      <w:jc w:val="both"/>
    </w:pPr>
    <w:rPr>
      <w:rFonts w:ascii="Arial" w:hAnsi="Arial" w:eastAsia="宋体" w:cs="Times New Roman"/>
      <w:kern w:val="2"/>
      <w:sz w:val="21"/>
      <w:szCs w:val="22"/>
      <w:lang w:val="en-US" w:eastAsia="zh-CN" w:bidi="ar-SA"/>
    </w:rPr>
  </w:style>
  <w:style w:type="paragraph" w:styleId="8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1">
    <w:name w:val="FollowedHyperlink"/>
    <w:basedOn w:val="10"/>
    <w:qFormat/>
    <w:uiPriority w:val="0"/>
    <w:rPr>
      <w:color w:val="000000"/>
      <w:u w:val="none"/>
    </w:rPr>
  </w:style>
  <w:style w:type="character" w:styleId="12">
    <w:name w:val="Emphasis"/>
    <w:basedOn w:val="10"/>
    <w:qFormat/>
    <w:uiPriority w:val="0"/>
  </w:style>
  <w:style w:type="character" w:styleId="13">
    <w:name w:val="Hyperlink"/>
    <w:basedOn w:val="10"/>
    <w:qFormat/>
    <w:uiPriority w:val="0"/>
    <w:rPr>
      <w:color w:val="000000"/>
      <w:u w:val="none"/>
    </w:rPr>
  </w:style>
  <w:style w:type="character" w:customStyle="1" w:styleId="14">
    <w:name w:val="hover25"/>
    <w:basedOn w:val="10"/>
    <w:qFormat/>
    <w:uiPriority w:val="0"/>
  </w:style>
  <w:style w:type="character" w:customStyle="1" w:styleId="15">
    <w:name w:val="red"/>
    <w:basedOn w:val="10"/>
    <w:qFormat/>
    <w:uiPriority w:val="0"/>
    <w:rPr>
      <w:color w:val="FF0000"/>
      <w:sz w:val="18"/>
      <w:szCs w:val="18"/>
    </w:rPr>
  </w:style>
  <w:style w:type="character" w:customStyle="1" w:styleId="16">
    <w:name w:val="red1"/>
    <w:basedOn w:val="10"/>
    <w:qFormat/>
    <w:uiPriority w:val="0"/>
    <w:rPr>
      <w:color w:val="FF0000"/>
      <w:sz w:val="18"/>
      <w:szCs w:val="18"/>
    </w:rPr>
  </w:style>
  <w:style w:type="character" w:customStyle="1" w:styleId="17">
    <w:name w:val="red2"/>
    <w:basedOn w:val="10"/>
    <w:qFormat/>
    <w:uiPriority w:val="0"/>
    <w:rPr>
      <w:color w:val="CC0000"/>
    </w:rPr>
  </w:style>
  <w:style w:type="character" w:customStyle="1" w:styleId="18">
    <w:name w:val="red3"/>
    <w:basedOn w:val="10"/>
    <w:qFormat/>
    <w:uiPriority w:val="0"/>
    <w:rPr>
      <w:color w:val="FF0000"/>
    </w:rPr>
  </w:style>
  <w:style w:type="character" w:customStyle="1" w:styleId="19">
    <w:name w:val="green"/>
    <w:basedOn w:val="10"/>
    <w:qFormat/>
    <w:uiPriority w:val="0"/>
    <w:rPr>
      <w:color w:val="66AE00"/>
      <w:sz w:val="18"/>
      <w:szCs w:val="18"/>
    </w:rPr>
  </w:style>
  <w:style w:type="character" w:customStyle="1" w:styleId="20">
    <w:name w:val="green1"/>
    <w:basedOn w:val="10"/>
    <w:qFormat/>
    <w:uiPriority w:val="0"/>
    <w:rPr>
      <w:color w:val="66AE00"/>
      <w:sz w:val="18"/>
      <w:szCs w:val="18"/>
    </w:rPr>
  </w:style>
  <w:style w:type="character" w:customStyle="1" w:styleId="21">
    <w:name w:val="blue"/>
    <w:basedOn w:val="10"/>
    <w:qFormat/>
    <w:uiPriority w:val="0"/>
    <w:rPr>
      <w:color w:val="0371C6"/>
      <w:sz w:val="21"/>
      <w:szCs w:val="21"/>
    </w:rPr>
  </w:style>
  <w:style w:type="character" w:customStyle="1" w:styleId="22">
    <w:name w:val="right"/>
    <w:basedOn w:val="10"/>
    <w:qFormat/>
    <w:uiPriority w:val="0"/>
    <w:rPr>
      <w:color w:val="999999"/>
      <w:sz w:val="18"/>
      <w:szCs w:val="18"/>
    </w:rPr>
  </w:style>
  <w:style w:type="character" w:customStyle="1" w:styleId="23">
    <w:name w:val="gb-jt"/>
    <w:basedOn w:val="10"/>
    <w:qFormat/>
    <w:uiPriority w:val="0"/>
  </w:style>
  <w:style w:type="paragraph" w:customStyle="1" w:styleId="24">
    <w:name w:val="列出段落1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61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2020-11-03T00:15:00Z</dcterms:created>
  <dc:creator>LENOVO-03</dc:creator>
  <cp:lastModifiedBy>财预（朱）</cp:lastModifiedBy>
  <cp:lastPrinted>2021-01-26T07:36:42Z</cp:lastPrinted>
  <dcterms:modified xsi:type="dcterms:W3CDTF">2021-01-26T07:39:41Z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