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许昌市财源开发建设有限公司</w:t>
      </w:r>
    </w:p>
    <w:p>
      <w:pPr>
        <w:ind w:left="3080" w:hanging="3080" w:hangingChars="700"/>
        <w:jc w:val="center"/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智慧信息产业园研发楼入驻企业办公家具</w:t>
      </w:r>
    </w:p>
    <w:p>
      <w:pPr>
        <w:ind w:left="3080" w:hanging="3080" w:hangingChars="70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项目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  <w:t>采购文件</w:t>
      </w:r>
    </w:p>
    <w:p>
      <w:pPr>
        <w:ind w:left="2194" w:leftChars="1045" w:firstLine="900" w:firstLineChars="3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eastAsia="zh-CN"/>
        </w:rPr>
        <w:t>（不见面开标）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许昌市财源开发建设有限公司“许昌市智慧信息产业园研发楼入驻企业办公家具项目（不见面开标）”的潜在投标人应在《许昌市投资总公司》网站公示公告栏目（http://www.xcstzzgs.cn/）获取采购文件，并于202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分（北京时间）前提交投标文件。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0" w:lef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项目概况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（一）项目名称：许昌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市智慧信息产业园研发楼入驻企业办公家具项目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（二）项目概况：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智慧信息产业园研发楼位于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许昌市城乡一体化示范区，魏武大道与明礼街交叉口。2019年10月，根据市委市政府工作安排，将该项目打造为黄河鲲鹏办公、研发中心及专家公寓（C区），目前，该项目室内装修已基本完成，具备餐饮、住宿、会晤等功能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（三）采购方式：询价。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（四）控制价：391070.4元（含增值税专用发票），超出此报价的为无效投标。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（五）采购范围及内容：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研发楼5层、6层、9层、20层办公家具及部分电源线、插座等安装。具体范围以采购人指定房间为准，清单详见控制价。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（六）服务周期：自签订合同之日起5个日历天。</w:t>
      </w:r>
    </w:p>
    <w:p>
      <w:pPr>
        <w:pStyle w:val="24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（七）合同及费用支付方式：该项目为总价合同，待中标人安装完成并无质量问题，30日内一次性支付全部费用。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0" w:lef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二、投标人资格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（一）具备《中华人民共和国政府采购法》第二十二条规定的条件；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（二）未被列入“信用中国”网站(www.creditchina.gov.cn)失信被执行人、重大税收违法案件当事人名单的投标人；“中国政府采购网” (www.ccgp.gov.cn)政府采购严重违法失信行为记录名单的投标人；“中国社会组织公共服务平台”网站（www.chinanpo.gov.cn）严重违法失信名单的社会组织。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640" w:firstLineChars="200"/>
        <w:jc w:val="left"/>
        <w:textAlignment w:val="auto"/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（三）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投标人必须具有独立的法人资格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，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并持有有效的营业执照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，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具备与本项目相关的经营范围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。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ind w:firstLine="960" w:firstLineChars="3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（四）本次招标不接受联合体投标。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三、开标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时间：202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年1月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日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0分（北京时间）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地点：许昌市老年大学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11楼会议室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（本项目采用不见面开标，投标人无须到现场）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本次招标采用“低价中标”原则，如果出现最低报价相同的，采购人会通知投标人重新报价，具体评标时间由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采购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人自行安排。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-178" w:leftChars="-85" w:firstLine="960" w:firstLineChars="3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四、投标文件组成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pacing w:before="0" w:beforeAutospacing="0" w:after="0" w:afterAutospacing="0" w:line="600" w:lineRule="exact"/>
        <w:ind w:left="420" w:leftChars="0" w:right="0" w:rightChars="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采购询价单（详见附件一），并附报价清单。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32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（二）营业执照、被授权人身份证复印件和法人身份证复印件加盖行政公章。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投标承诺函（详见附件二）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（四）投标文件要装订并密封，密封处加盖公司公章。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（五）以上资料缺少或不按要求提供的，为无效投标。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-178" w:leftChars="-85" w:firstLine="960" w:firstLineChars="3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五、其他补充事宜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（一）公告期限：自本公告发布之日起3个工作日。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（二）投标文件提交地点：许昌市老年大学11楼1108室。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投标截止时间：2021年1月29日  17:30，超出此时间提交的投标文件视为废标。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（三）采购人不组织踏勘现场，投标人可自行组织。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（四）有效投标人不得少于3家，否则废标。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-178" w:leftChars="-85" w:firstLine="960" w:firstLineChars="3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六、对本次采购提出询问，请按以下方式联系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采购人信息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名称：许昌市财源开发建设有限公司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地址：许昌市老年大学11楼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联系方式：朱先生  17839120330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beforeAutospacing="0"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许昌市财源开发建设有限公司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line="360" w:lineRule="auto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2021年1月26日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附件一：</w:t>
      </w:r>
    </w:p>
    <w:tbl>
      <w:tblPr>
        <w:tblStyle w:val="9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2691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 2、投标人应在报价单上注明公司全称，由法定代表人或其授权代表人签字并加盖公章；3、投标报价单不允许在传真纸上填写；4、中标方与采购方签订采购合同；5、报价单必须按各栏目认真填写，不准漏项，不得涂改；6、如果不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按照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要求或者超过规定报送时间将被取消投标资格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（总价）</w:t>
            </w:r>
          </w:p>
        </w:tc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许昌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市智慧信息产业园研发楼入驻企业办公家具项目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both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附报价清单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8493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注：报价人须在20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17:30时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前将报价单密封报至许昌市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财源开发建设有限公司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许昌市财源开发建设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1200" w:firstLineChars="500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月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5"/>
        <w:rPr>
          <w:rFonts w:hint="eastAsia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附件二：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36"/>
          <w:szCs w:val="36"/>
        </w:rPr>
        <w:t xml:space="preserve"> 投标承诺函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</w:p>
    <w:p>
      <w:pPr>
        <w:spacing w:beforeLines="50" w:afterLines="50" w:line="360" w:lineRule="auto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许昌市财源开发建设有限公司（采购人）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：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经研究，我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方自愿参与贵方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>许昌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eastAsia="zh-CN"/>
        </w:rPr>
        <w:t>市智慧信息产业园研发楼入驻企业办公家具项目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（项目名称）的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投标，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严格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遵守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中华人民共和国政府采购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法》等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法律法规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规定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，并无条件地遵守本次采购活动各项规定。我们郑重承诺：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我方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如果在本次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活动中有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下列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情形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之一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的，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视为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投标行为无效，若中标则自愿放弃中标资格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，同时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接受政府采购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监督管理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部门给予相关处罚并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承诺依法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承担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相关的经济赔偿责任和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法律责任。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一、在投标有效期内撤销响应文件；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二、在投标文件中提供虚假材料；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三、除因不可抗力或谈判文件认可的情形以外，中标后不与采购人签订合同；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四、与采购人、其他供应商或者采购代理机构恶意串通；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五、法律法规及本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文件规定的其他严重违法行为。</w:t>
      </w: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ind w:firstLine="3600" w:firstLineChars="15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供应商名称（并加盖公章）：</w:t>
      </w:r>
    </w:p>
    <w:p>
      <w:pPr>
        <w:adjustRightInd w:val="0"/>
        <w:snapToGrid w:val="0"/>
        <w:spacing w:line="360" w:lineRule="auto"/>
        <w:ind w:firstLine="4920" w:firstLineChars="2050"/>
        <w:rPr>
          <w:rFonts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日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宋体" w:eastAsia="宋体" w:cs="Times New Roman"/>
          <w:b/>
          <w:snapToGrid w:val="0"/>
          <w:color w:val="auto"/>
          <w:kern w:val="0"/>
          <w:sz w:val="36"/>
          <w:szCs w:val="36"/>
        </w:rPr>
      </w:pPr>
    </w:p>
    <w:p>
      <w:pPr>
        <w:pStyle w:val="5"/>
      </w:pPr>
    </w:p>
    <w:p>
      <w:pPr>
        <w:pStyle w:val="5"/>
      </w:pPr>
    </w:p>
    <w:sectPr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65DD6E"/>
    <w:multiLevelType w:val="singleLevel"/>
    <w:tmpl w:val="C565DD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E6388"/>
    <w:multiLevelType w:val="singleLevel"/>
    <w:tmpl w:val="213E638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A065B"/>
    <w:rsid w:val="00112C44"/>
    <w:rsid w:val="00C96CEC"/>
    <w:rsid w:val="011D4691"/>
    <w:rsid w:val="04026F36"/>
    <w:rsid w:val="0B555CEB"/>
    <w:rsid w:val="0BC03834"/>
    <w:rsid w:val="10C7166C"/>
    <w:rsid w:val="168B2E32"/>
    <w:rsid w:val="170B5F46"/>
    <w:rsid w:val="17950A61"/>
    <w:rsid w:val="1BAB727E"/>
    <w:rsid w:val="1DC8593B"/>
    <w:rsid w:val="1F221187"/>
    <w:rsid w:val="1F303B22"/>
    <w:rsid w:val="215C0A7C"/>
    <w:rsid w:val="23A26978"/>
    <w:rsid w:val="24DA152F"/>
    <w:rsid w:val="294C5571"/>
    <w:rsid w:val="2AB20E6B"/>
    <w:rsid w:val="2C0E7C49"/>
    <w:rsid w:val="2DB63777"/>
    <w:rsid w:val="32FA33E2"/>
    <w:rsid w:val="376C500E"/>
    <w:rsid w:val="3A5F5F6F"/>
    <w:rsid w:val="407055D6"/>
    <w:rsid w:val="43A442C6"/>
    <w:rsid w:val="43F73885"/>
    <w:rsid w:val="48F6449C"/>
    <w:rsid w:val="49EB6F4A"/>
    <w:rsid w:val="4B091138"/>
    <w:rsid w:val="4C161760"/>
    <w:rsid w:val="4C5D1B10"/>
    <w:rsid w:val="4CEF2724"/>
    <w:rsid w:val="4FDD0E7B"/>
    <w:rsid w:val="509318E3"/>
    <w:rsid w:val="51E011C4"/>
    <w:rsid w:val="53BB0720"/>
    <w:rsid w:val="5EA13181"/>
    <w:rsid w:val="614B4DF2"/>
    <w:rsid w:val="624B638D"/>
    <w:rsid w:val="62A9228E"/>
    <w:rsid w:val="632C4DC5"/>
    <w:rsid w:val="636F27D9"/>
    <w:rsid w:val="63A12BF9"/>
    <w:rsid w:val="66E30DC8"/>
    <w:rsid w:val="6A5A065B"/>
    <w:rsid w:val="6AC95EDC"/>
    <w:rsid w:val="6B4915D7"/>
    <w:rsid w:val="71B115E4"/>
    <w:rsid w:val="72D05810"/>
    <w:rsid w:val="740C2D72"/>
    <w:rsid w:val="76FD4590"/>
    <w:rsid w:val="7A801A82"/>
    <w:rsid w:val="7BA23801"/>
    <w:rsid w:val="7BAB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FollowedHyperlink"/>
    <w:basedOn w:val="10"/>
    <w:qFormat/>
    <w:uiPriority w:val="0"/>
    <w:rPr>
      <w:color w:val="000000"/>
      <w:u w:val="none"/>
    </w:rPr>
  </w:style>
  <w:style w:type="character" w:styleId="12">
    <w:name w:val="Emphasis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00"/>
      <w:u w:val="none"/>
    </w:rPr>
  </w:style>
  <w:style w:type="character" w:customStyle="1" w:styleId="14">
    <w:name w:val="hover25"/>
    <w:basedOn w:val="10"/>
    <w:qFormat/>
    <w:uiPriority w:val="0"/>
  </w:style>
  <w:style w:type="character" w:customStyle="1" w:styleId="15">
    <w:name w:val="red"/>
    <w:basedOn w:val="10"/>
    <w:qFormat/>
    <w:uiPriority w:val="0"/>
    <w:rPr>
      <w:color w:val="FF0000"/>
      <w:sz w:val="18"/>
      <w:szCs w:val="18"/>
    </w:rPr>
  </w:style>
  <w:style w:type="character" w:customStyle="1" w:styleId="16">
    <w:name w:val="red1"/>
    <w:basedOn w:val="10"/>
    <w:qFormat/>
    <w:uiPriority w:val="0"/>
    <w:rPr>
      <w:color w:val="FF0000"/>
      <w:sz w:val="18"/>
      <w:szCs w:val="18"/>
    </w:rPr>
  </w:style>
  <w:style w:type="character" w:customStyle="1" w:styleId="17">
    <w:name w:val="red2"/>
    <w:basedOn w:val="10"/>
    <w:qFormat/>
    <w:uiPriority w:val="0"/>
    <w:rPr>
      <w:color w:val="CC0000"/>
    </w:rPr>
  </w:style>
  <w:style w:type="character" w:customStyle="1" w:styleId="18">
    <w:name w:val="red3"/>
    <w:basedOn w:val="10"/>
    <w:qFormat/>
    <w:uiPriority w:val="0"/>
    <w:rPr>
      <w:color w:val="FF0000"/>
    </w:rPr>
  </w:style>
  <w:style w:type="character" w:customStyle="1" w:styleId="19">
    <w:name w:val="green"/>
    <w:basedOn w:val="10"/>
    <w:qFormat/>
    <w:uiPriority w:val="0"/>
    <w:rPr>
      <w:color w:val="66AE00"/>
      <w:sz w:val="18"/>
      <w:szCs w:val="18"/>
    </w:rPr>
  </w:style>
  <w:style w:type="character" w:customStyle="1" w:styleId="20">
    <w:name w:val="green1"/>
    <w:basedOn w:val="10"/>
    <w:qFormat/>
    <w:uiPriority w:val="0"/>
    <w:rPr>
      <w:color w:val="66AE00"/>
      <w:sz w:val="18"/>
      <w:szCs w:val="18"/>
    </w:rPr>
  </w:style>
  <w:style w:type="character" w:customStyle="1" w:styleId="21">
    <w:name w:val="blue"/>
    <w:basedOn w:val="10"/>
    <w:qFormat/>
    <w:uiPriority w:val="0"/>
    <w:rPr>
      <w:color w:val="0371C6"/>
      <w:sz w:val="21"/>
      <w:szCs w:val="21"/>
    </w:rPr>
  </w:style>
  <w:style w:type="character" w:customStyle="1" w:styleId="22">
    <w:name w:val="right"/>
    <w:basedOn w:val="10"/>
    <w:qFormat/>
    <w:uiPriority w:val="0"/>
    <w:rPr>
      <w:color w:val="999999"/>
      <w:sz w:val="18"/>
      <w:szCs w:val="18"/>
    </w:rPr>
  </w:style>
  <w:style w:type="character" w:customStyle="1" w:styleId="23">
    <w:name w:val="gb-jt"/>
    <w:basedOn w:val="10"/>
    <w:qFormat/>
    <w:uiPriority w:val="0"/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2020-11-03T00:15:00Z</dcterms:created>
  <dc:creator>LENOVO-03</dc:creator>
  <cp:lastModifiedBy>财预（朱）</cp:lastModifiedBy>
  <cp:lastPrinted>2020-11-11T03:03:00Z</cp:lastPrinted>
  <dcterms:modified xsi:type="dcterms:W3CDTF">2021-01-26T07:18:39Z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