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_GB2312"/>
          <w:b/>
          <w:color w:val="05060A"/>
          <w:kern w:val="0"/>
          <w:sz w:val="36"/>
          <w:szCs w:val="36"/>
          <w:lang w:val="en-US" w:eastAsia="zh-CN"/>
        </w:rPr>
        <w:t>2021年度银行间交易商协会</w:t>
      </w:r>
      <w:r>
        <w:rPr>
          <w:rFonts w:hint="eastAsia" w:ascii="仿宋" w:hAnsi="仿宋" w:eastAsia="仿宋" w:cs="仿宋"/>
          <w:b/>
          <w:bCs w:val="0"/>
          <w:color w:val="05060A"/>
          <w:kern w:val="0"/>
          <w:sz w:val="36"/>
          <w:szCs w:val="36"/>
        </w:rPr>
        <w:t>超短期融</w:t>
      </w:r>
      <w:r>
        <w:rPr>
          <w:rFonts w:hint="eastAsia" w:ascii="仿宋" w:hAnsi="仿宋" w:eastAsia="仿宋" w:cs="仿宋"/>
          <w:b/>
          <w:bCs w:val="0"/>
          <w:color w:val="05060A"/>
          <w:kern w:val="0"/>
          <w:sz w:val="36"/>
          <w:szCs w:val="36"/>
          <w:lang w:eastAsia="zh-CN"/>
        </w:rPr>
        <w:t>资</w:t>
      </w:r>
      <w:r>
        <w:rPr>
          <w:rFonts w:hint="eastAsia" w:ascii="仿宋" w:hAnsi="仿宋" w:eastAsia="仿宋" w:cs="仿宋"/>
          <w:b/>
          <w:bCs w:val="0"/>
          <w:color w:val="05060A"/>
          <w:kern w:val="0"/>
          <w:sz w:val="36"/>
          <w:szCs w:val="36"/>
        </w:rPr>
        <w:t>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cs="仿宋"/>
          <w:sz w:val="30"/>
          <w:szCs w:val="30"/>
          <w:lang w:val="en-US" w:eastAsia="zh-CN"/>
        </w:rPr>
        <w:t>银行间市场</w:t>
      </w:r>
      <w:bookmarkStart w:id="0" w:name="_GoBack"/>
      <w:bookmarkEnd w:id="0"/>
      <w:r>
        <w:rPr>
          <w:rFonts w:hint="eastAsia" w:ascii="仿宋" w:hAnsi="仿宋" w:eastAsia="仿宋" w:cs="仿宋"/>
          <w:sz w:val="30"/>
          <w:szCs w:val="30"/>
          <w:lang w:val="en-US" w:eastAsia="zh-CN"/>
        </w:rPr>
        <w:t>交易商协会</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交易商协会</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cs="仿宋_GB2312"/>
          <w:color w:val="16181D"/>
          <w:kern w:val="0"/>
          <w:sz w:val="30"/>
          <w:szCs w:val="30"/>
        </w:rPr>
        <w:t>（以下简称</w:t>
      </w:r>
      <w:r>
        <w:rPr>
          <w:rFonts w:hint="eastAsia" w:ascii="仿宋" w:hAnsi="仿宋" w:eastAsia="仿宋" w:cs="仿宋_GB2312"/>
          <w:color w:val="16181D"/>
          <w:kern w:val="0"/>
          <w:sz w:val="30"/>
          <w:szCs w:val="30"/>
          <w:lang w:val="en-US" w:eastAsia="zh-CN"/>
        </w:rPr>
        <w:t>“超短融”</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cs="仿宋_GB2312"/>
          <w:kern w:val="0"/>
          <w:sz w:val="30"/>
          <w:szCs w:val="30"/>
        </w:rPr>
        <w:t>发行</w:t>
      </w:r>
      <w:r>
        <w:rPr>
          <w:rFonts w:hint="eastAsia" w:ascii="仿宋" w:hAnsi="仿宋" w:eastAsia="仿宋" w:cs="仿宋_GB2312"/>
          <w:kern w:val="0"/>
          <w:sz w:val="30"/>
          <w:szCs w:val="30"/>
          <w:lang w:eastAsia="zh-CN"/>
        </w:rPr>
        <w:t>项目</w:t>
      </w:r>
      <w:r>
        <w:rPr>
          <w:rFonts w:hint="eastAsia" w:ascii="仿宋" w:hAnsi="仿宋" w:eastAsia="仿宋" w:cs="仿宋_GB2312"/>
          <w:kern w:val="0"/>
          <w:sz w:val="30"/>
          <w:szCs w:val="30"/>
        </w:rPr>
        <w:t>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根据投标人要求，完成投标人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超短融</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10</w:t>
      </w:r>
      <w:r>
        <w:rPr>
          <w:rFonts w:hint="eastAsia" w:ascii="仿宋" w:hAnsi="仿宋" w:eastAsia="仿宋"/>
          <w:kern w:val="0"/>
          <w:sz w:val="32"/>
          <w:szCs w:val="32"/>
        </w:rPr>
        <w:t>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default"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270天</w:t>
      </w:r>
      <w:r>
        <w:rPr>
          <w:rFonts w:hint="eastAsia" w:ascii="仿宋" w:hAnsi="仿宋" w:eastAsia="仿宋" w:cs="仿宋_GB2312"/>
          <w:kern w:val="0"/>
          <w:sz w:val="30"/>
          <w:szCs w:val="30"/>
        </w:rPr>
        <w:t>。</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val="en-US" w:eastAsia="zh-CN"/>
        </w:rPr>
        <w:t>超短融</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交易商协会</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2"/>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（九）承销费用：为</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）2020年度交易商协会公布《非金融企业债务融资工具承销机构名单》具有</w:t>
      </w:r>
      <w:r>
        <w:rPr>
          <w:rFonts w:hint="eastAsia" w:ascii="仿宋" w:hAnsi="仿宋" w:eastAsia="仿宋" w:cs="仿宋_GB2312"/>
          <w:color w:val="000000" w:themeColor="text1"/>
          <w:kern w:val="0"/>
          <w:sz w:val="30"/>
          <w:szCs w:val="30"/>
          <w:lang w:val="en-US" w:eastAsia="zh-CN"/>
          <w14:textFill>
            <w14:solidFill>
              <w14:schemeClr w14:val="tx1"/>
            </w14:solidFill>
          </w14:textFill>
        </w:rPr>
        <w:t>A类</w:t>
      </w:r>
      <w:r>
        <w:rPr>
          <w:rFonts w:hint="eastAsia" w:ascii="仿宋" w:hAnsi="仿宋" w:eastAsia="仿宋" w:cs="仿宋_GB2312"/>
          <w:color w:val="000000" w:themeColor="text1"/>
          <w:kern w:val="0"/>
          <w:sz w:val="30"/>
          <w:szCs w:val="30"/>
          <w14:textFill>
            <w14:solidFill>
              <w14:schemeClr w14:val="tx1"/>
            </w14:solidFill>
          </w14:textFill>
        </w:rPr>
        <w:t>主承销商资格的银行类机构</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7</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超短融</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4"/>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 招标控制价</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 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r>
        <w:rPr>
          <w:rFonts w:hint="eastAsia" w:ascii="仿宋" w:hAnsi="仿宋" w:eastAsia="仿宋" w:cs="仿宋_GB2312"/>
          <w:color w:val="13151A"/>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pStyle w:val="53"/>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53"/>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06080B"/>
          <w:kern w:val="0"/>
          <w:sz w:val="30"/>
          <w:szCs w:val="30"/>
        </w:rPr>
        <w:br w:type="page"/>
      </w: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tbl>
      <w:tblPr>
        <w:tblStyle w:val="16"/>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930" w:type="dxa"/>
            <w:gridSpan w:val="3"/>
            <w:tcBorders>
              <w:tl2br w:val="nil"/>
              <w:tr2bl w:val="nil"/>
            </w:tcBorders>
            <w:noWrap/>
            <w:vAlign w:val="center"/>
          </w:tcPr>
          <w:p>
            <w:pPr>
              <w:pStyle w:val="45"/>
              <w:pageBreakBefore/>
              <w:spacing w:line="360" w:lineRule="auto"/>
              <w:ind w:right="-210" w:rightChars="-100"/>
              <w:jc w:val="center"/>
              <w:rPr>
                <w:b/>
                <w:bCs/>
              </w:rPr>
            </w:pPr>
            <w:r>
              <w:rPr>
                <w:rFonts w:hint="eastAsia"/>
                <w:b/>
                <w:bCs/>
              </w:rPr>
              <w:t>详细评审表</w:t>
            </w:r>
          </w:p>
          <w:tbl>
            <w:tblPr>
              <w:tblStyle w:val="16"/>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noWrap w:val="0"/>
                  <w:vAlign w:val="center"/>
                </w:tcPr>
                <w:p>
                  <w:pPr>
                    <w:widowControl/>
                    <w:jc w:val="center"/>
                    <w:rPr>
                      <w:b/>
                      <w:bCs/>
                    </w:rPr>
                  </w:pPr>
                  <w:r>
                    <w:rPr>
                      <w:b/>
                      <w:bCs/>
                    </w:rPr>
                    <w:t>分值构成</w:t>
                  </w:r>
                  <w:r>
                    <w:rPr>
                      <w:b/>
                      <w:bCs/>
                    </w:rPr>
                    <w:br w:type="textWrapping"/>
                  </w:r>
                  <w:r>
                    <w:rPr>
                      <w:b/>
                      <w:bCs/>
                    </w:rPr>
                    <w:t>（总分100分）</w:t>
                  </w:r>
                </w:p>
              </w:tc>
              <w:tc>
                <w:tcPr>
                  <w:tcW w:w="7044" w:type="dxa"/>
                  <w:gridSpan w:val="2"/>
                  <w:tcBorders>
                    <w:tl2br w:val="nil"/>
                    <w:tr2bl w:val="nil"/>
                  </w:tcBorders>
                  <w:noWrap/>
                  <w:vAlign w:val="center"/>
                </w:tcPr>
                <w:p>
                  <w:pPr>
                    <w:widowControl/>
                    <w:jc w:val="center"/>
                    <w:rPr>
                      <w:b/>
                      <w:bCs/>
                    </w:rPr>
                  </w:pPr>
                  <w:r>
                    <w:rPr>
                      <w:b/>
                      <w:bCs/>
                    </w:rPr>
                    <w:t>价格部分：</w:t>
                  </w:r>
                  <w:r>
                    <w:rPr>
                      <w:rFonts w:hint="eastAsia"/>
                      <w:b/>
                      <w:bCs/>
                      <w:lang w:val="en-US" w:eastAsia="zh-CN"/>
                    </w:rPr>
                    <w:t>10</w:t>
                  </w:r>
                  <w:r>
                    <w:rPr>
                      <w:b/>
                      <w:bCs/>
                    </w:rPr>
                    <w:t>分</w:t>
                  </w:r>
                </w:p>
                <w:p>
                  <w:pPr>
                    <w:widowControl/>
                    <w:jc w:val="center"/>
                    <w:rPr>
                      <w:b/>
                      <w:bCs/>
                    </w:rPr>
                  </w:pPr>
                  <w:r>
                    <w:rPr>
                      <w:b/>
                      <w:bCs/>
                    </w:rPr>
                    <w:t>技术部分：</w:t>
                  </w:r>
                  <w:r>
                    <w:rPr>
                      <w:rFonts w:hint="eastAsia"/>
                      <w:b/>
                      <w:bCs/>
                      <w:lang w:val="en-US" w:eastAsia="zh-CN"/>
                    </w:rPr>
                    <w:t>45</w:t>
                  </w:r>
                  <w:r>
                    <w:rPr>
                      <w:b/>
                      <w:bCs/>
                    </w:rPr>
                    <w:t>分</w:t>
                  </w:r>
                </w:p>
                <w:p>
                  <w:pPr>
                    <w:jc w:val="center"/>
                    <w:rPr>
                      <w:b/>
                      <w:bCs/>
                    </w:rPr>
                  </w:pPr>
                  <w:r>
                    <w:rPr>
                      <w:b/>
                      <w:bCs/>
                    </w:rPr>
                    <w:t>商务部分：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noWrap/>
                  <w:vAlign w:val="center"/>
                </w:tcPr>
                <w:p>
                  <w:pPr>
                    <w:widowControl/>
                    <w:jc w:val="center"/>
                    <w:rPr>
                      <w:b/>
                      <w:bCs/>
                    </w:rPr>
                  </w:pPr>
                  <w:r>
                    <w:rPr>
                      <w:b/>
                      <w:bCs/>
                    </w:rPr>
                    <w:t>（1） 价格部分（满分</w:t>
                  </w:r>
                  <w:r>
                    <w:rPr>
                      <w:rFonts w:hint="eastAsia"/>
                      <w:b/>
                      <w:bCs/>
                      <w:lang w:val="en-US" w:eastAsia="zh-CN"/>
                    </w:rPr>
                    <w:t>10</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noWrap/>
                  <w:vAlign w:val="center"/>
                </w:tcPr>
                <w:p>
                  <w:pPr>
                    <w:widowControl/>
                    <w:jc w:val="center"/>
                    <w:rPr>
                      <w:b/>
                      <w:bCs/>
                    </w:rPr>
                  </w:pPr>
                  <w:r>
                    <w:rPr>
                      <w:b/>
                      <w:bCs/>
                    </w:rPr>
                    <w:t>评分因素</w:t>
                  </w:r>
                </w:p>
              </w:tc>
              <w:tc>
                <w:tcPr>
                  <w:tcW w:w="5954" w:type="dxa"/>
                  <w:tcBorders>
                    <w:tl2br w:val="nil"/>
                    <w:tr2bl w:val="nil"/>
                  </w:tcBorders>
                  <w:noWrap/>
                  <w:vAlign w:val="center"/>
                </w:tcPr>
                <w:p>
                  <w:pPr>
                    <w:widowControl/>
                    <w:jc w:val="center"/>
                    <w:rPr>
                      <w:b/>
                      <w:bCs/>
                    </w:rPr>
                  </w:pPr>
                  <w:r>
                    <w:rPr>
                      <w:b/>
                      <w:bCs/>
                    </w:rPr>
                    <w:t>评分标准</w:t>
                  </w:r>
                </w:p>
              </w:tc>
              <w:tc>
                <w:tcPr>
                  <w:tcW w:w="1090" w:type="dxa"/>
                  <w:tcBorders>
                    <w:tl2br w:val="nil"/>
                    <w:tr2bl w:val="nil"/>
                  </w:tcBorders>
                  <w:noWrap/>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noWrap/>
                  <w:vAlign w:val="center"/>
                </w:tcPr>
                <w:p>
                  <w:pPr>
                    <w:widowControl/>
                    <w:spacing w:line="360" w:lineRule="atLeast"/>
                    <w:jc w:val="center"/>
                  </w:pPr>
                  <w:r>
                    <w:rPr>
                      <w:rFonts w:hint="eastAsia"/>
                    </w:rPr>
                    <w:t>价格部分</w:t>
                  </w:r>
                </w:p>
              </w:tc>
              <w:tc>
                <w:tcPr>
                  <w:tcW w:w="5954" w:type="dxa"/>
                  <w:tcBorders>
                    <w:tl2br w:val="nil"/>
                    <w:tr2bl w:val="nil"/>
                  </w:tcBorders>
                  <w:noWrap w:val="0"/>
                  <w:vAlign w:val="center"/>
                </w:tcPr>
                <w:p>
                  <w:pPr>
                    <w:pStyle w:val="2"/>
                    <w:rPr>
                      <w:rFonts w:hint="eastAsia"/>
                      <w:lang w:val="en-US" w:eastAsia="zh-CN"/>
                    </w:rPr>
                  </w:pPr>
                  <w:r>
                    <w:rPr>
                      <w:rFonts w:hint="eastAsia"/>
                      <w:lang w:eastAsia="zh-CN"/>
                    </w:rPr>
                    <w:t>该报价为上文</w:t>
                  </w:r>
                  <w:r>
                    <w:rPr>
                      <w:rFonts w:hint="eastAsia"/>
                      <w:lang w:val="en-US" w:eastAsia="zh-CN"/>
                    </w:rPr>
                    <w:t>P2“一（九）”所述固定承销费用。</w:t>
                  </w:r>
                </w:p>
                <w:p>
                  <w:pPr>
                    <w:pStyle w:val="2"/>
                    <w:rPr>
                      <w:rFonts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noWrap/>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noWrap/>
                  <w:vAlign w:val="center"/>
                </w:tcPr>
                <w:p>
                  <w:pPr>
                    <w:widowControl/>
                    <w:jc w:val="center"/>
                    <w:rPr>
                      <w:b/>
                      <w:bCs/>
                    </w:rPr>
                  </w:pPr>
                  <w:r>
                    <w:rPr>
                      <w:b/>
                      <w:bCs/>
                    </w:rPr>
                    <w:t>（2）技术部分（满分</w:t>
                  </w:r>
                  <w:r>
                    <w:rPr>
                      <w:rFonts w:hint="eastAsia"/>
                      <w:b/>
                      <w:bCs/>
                      <w:lang w:val="en-US" w:eastAsia="zh-CN"/>
                    </w:rPr>
                    <w:t>45</w:t>
                  </w:r>
                  <w:r>
                    <w:rPr>
                      <w:b/>
                      <w:bCs/>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noWrap/>
                  <w:vAlign w:val="center"/>
                </w:tcPr>
                <w:p>
                  <w:pPr>
                    <w:widowControl/>
                    <w:jc w:val="center"/>
                    <w:rPr>
                      <w:b/>
                      <w:bCs/>
                    </w:rPr>
                  </w:pPr>
                  <w:r>
                    <w:rPr>
                      <w:b/>
                      <w:bCs/>
                    </w:rPr>
                    <w:t>评分因素</w:t>
                  </w:r>
                </w:p>
              </w:tc>
              <w:tc>
                <w:tcPr>
                  <w:tcW w:w="5954" w:type="dxa"/>
                  <w:tcBorders>
                    <w:tl2br w:val="nil"/>
                    <w:tr2bl w:val="nil"/>
                  </w:tcBorders>
                  <w:noWrap/>
                  <w:vAlign w:val="center"/>
                </w:tcPr>
                <w:p>
                  <w:pPr>
                    <w:widowControl/>
                    <w:jc w:val="center"/>
                    <w:rPr>
                      <w:b/>
                      <w:bCs/>
                    </w:rPr>
                  </w:pPr>
                  <w:r>
                    <w:rPr>
                      <w:b/>
                      <w:bCs/>
                    </w:rPr>
                    <w:t>评分标准</w:t>
                  </w:r>
                </w:p>
              </w:tc>
              <w:tc>
                <w:tcPr>
                  <w:tcW w:w="1090" w:type="dxa"/>
                  <w:tcBorders>
                    <w:tl2br w:val="nil"/>
                    <w:tr2bl w:val="nil"/>
                  </w:tcBorders>
                  <w:noWrap/>
                  <w:vAlign w:val="center"/>
                </w:tcPr>
                <w:p>
                  <w:pPr>
                    <w:widowControl/>
                    <w:jc w:val="center"/>
                    <w:rPr>
                      <w:b/>
                      <w:bCs/>
                    </w:rPr>
                  </w:pPr>
                  <w:r>
                    <w:rPr>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pPr>
                  <w:r>
                    <w:rPr>
                      <w:rFonts w:hint="eastAsia"/>
                      <w:lang w:eastAsia="zh-CN"/>
                    </w:rPr>
                    <w:t>承销方案</w:t>
                  </w:r>
                  <w:r>
                    <w:t xml:space="preserve">   </w:t>
                  </w:r>
                </w:p>
              </w:tc>
              <w:tc>
                <w:tcPr>
                  <w:tcW w:w="5954" w:type="dxa"/>
                  <w:tcBorders>
                    <w:tl2br w:val="nil"/>
                    <w:tr2bl w:val="nil"/>
                  </w:tcBorders>
                  <w:noWrap w:val="0"/>
                  <w:vAlign w:val="center"/>
                </w:tcPr>
                <w:p>
                  <w:pPr>
                    <w:pStyle w:val="2"/>
                  </w:pPr>
                  <w:r>
                    <w:t>投标人设计的发行方案是否完善、合理。</w:t>
                  </w:r>
                  <w:r>
                    <w:rPr>
                      <w:rFonts w:hint="eastAsia"/>
                      <w:lang w:eastAsia="zh-CN"/>
                    </w:rPr>
                    <w:t>包括但不限于以下要素</w:t>
                  </w:r>
                  <w:r>
                    <w:t>：</w:t>
                  </w:r>
                </w:p>
                <w:p>
                  <w:pPr>
                    <w:pStyle w:val="2"/>
                  </w:pPr>
                  <w:r>
                    <w:rPr>
                      <w:rFonts w:hint="eastAsia"/>
                      <w:lang w:val="en-US" w:eastAsia="zh-CN"/>
                    </w:rPr>
                    <w:t>1</w:t>
                  </w:r>
                  <w:r>
                    <w:t>、项目需重点关注问题及解决方案；</w:t>
                  </w:r>
                </w:p>
                <w:p>
                  <w:pPr>
                    <w:pStyle w:val="2"/>
                  </w:pPr>
                  <w:r>
                    <w:rPr>
                      <w:rFonts w:hint="eastAsia"/>
                      <w:lang w:val="en-US" w:eastAsia="zh-CN"/>
                    </w:rPr>
                    <w:t>2</w:t>
                  </w:r>
                  <w:r>
                    <w:t>、</w:t>
                  </w:r>
                  <w:r>
                    <w:rPr>
                      <w:rFonts w:hint="eastAsia"/>
                      <w:lang w:eastAsia="zh-CN"/>
                    </w:rPr>
                    <w:t>保障发行的措施</w:t>
                  </w:r>
                  <w:r>
                    <w:t>：</w:t>
                  </w:r>
                </w:p>
                <w:p>
                  <w:pPr>
                    <w:pStyle w:val="2"/>
                  </w:pPr>
                  <w:r>
                    <w:rPr>
                      <w:rFonts w:hint="eastAsia"/>
                      <w:lang w:val="en-US" w:eastAsia="zh-CN"/>
                    </w:rPr>
                    <w:t>3</w:t>
                  </w:r>
                  <w:r>
                    <w:t>、</w:t>
                  </w:r>
                  <w:r>
                    <w:rPr>
                      <w:rFonts w:hint="eastAsia"/>
                      <w:lang w:eastAsia="zh-CN"/>
                    </w:rPr>
                    <w:t>如何提高项目注册效率</w:t>
                  </w:r>
                  <w:r>
                    <w:t>；</w:t>
                  </w:r>
                </w:p>
                <w:p>
                  <w:pPr>
                    <w:pStyle w:val="2"/>
                  </w:pPr>
                  <w:r>
                    <w:rPr>
                      <w:rFonts w:hint="eastAsia"/>
                      <w:lang w:val="en-US" w:eastAsia="zh-CN"/>
                    </w:rPr>
                    <w:t>4</w:t>
                  </w:r>
                  <w:r>
                    <w:t>、</w:t>
                  </w:r>
                  <w:r>
                    <w:rPr>
                      <w:rFonts w:hint="eastAsia"/>
                      <w:lang w:eastAsia="zh-CN"/>
                    </w:rPr>
                    <w:t>降低发行成本的建议</w:t>
                  </w:r>
                  <w:r>
                    <w:t>；</w:t>
                  </w:r>
                </w:p>
                <w:p>
                  <w:pPr>
                    <w:pStyle w:val="2"/>
                  </w:pPr>
                  <w:r>
                    <w:rPr>
                      <w:rFonts w:hint="eastAsia"/>
                      <w:lang w:val="en-US" w:eastAsia="zh-CN"/>
                    </w:rPr>
                    <w:t>5</w:t>
                  </w:r>
                  <w:r>
                    <w:t>、项目进度时间安排；</w:t>
                  </w:r>
                </w:p>
                <w:p>
                  <w:pPr>
                    <w:pStyle w:val="2"/>
                  </w:pPr>
                  <w:r>
                    <w:rPr>
                      <w:rFonts w:hint="eastAsia"/>
                      <w:lang w:val="en-US" w:eastAsia="zh-CN"/>
                    </w:rPr>
                    <w:t>6</w:t>
                  </w:r>
                  <w:r>
                    <w:t>、</w:t>
                  </w:r>
                  <w:r>
                    <w:rPr>
                      <w:rFonts w:hint="eastAsia"/>
                      <w:lang w:eastAsia="zh-CN"/>
                    </w:rPr>
                    <w:t>投标人的优势</w:t>
                  </w:r>
                  <w:r>
                    <w:t>；</w:t>
                  </w:r>
                </w:p>
                <w:p>
                  <w:pPr>
                    <w:pStyle w:val="2"/>
                  </w:pPr>
                  <w:r>
                    <w:rPr>
                      <w:rFonts w:hint="eastAsia"/>
                      <w:lang w:val="en-US" w:eastAsia="zh-CN"/>
                    </w:rPr>
                    <w:t>7</w:t>
                  </w:r>
                  <w:r>
                    <w:t>、债券存续期服务安排；</w:t>
                  </w:r>
                </w:p>
                <w:p>
                  <w:pPr>
                    <w:pStyle w:val="2"/>
                  </w:pPr>
                  <w:r>
                    <w:rPr>
                      <w:rFonts w:hint="eastAsia"/>
                      <w:lang w:val="en-US" w:eastAsia="zh-CN"/>
                    </w:rPr>
                    <w:t>8</w:t>
                  </w:r>
                  <w:r>
                    <w:t>、</w:t>
                  </w:r>
                  <w:r>
                    <w:rPr>
                      <w:rFonts w:hint="eastAsia"/>
                      <w:lang w:eastAsia="zh-CN"/>
                    </w:rPr>
                    <w:t>其他服务性承诺</w:t>
                  </w:r>
                  <w:r>
                    <w:t>。</w:t>
                  </w:r>
                </w:p>
                <w:p>
                  <w:pPr>
                    <w:widowControl/>
                    <w:jc w:val="left"/>
                    <w:rPr>
                      <w:rFonts w:hint="eastAsia"/>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noWrap/>
                  <w:vAlign w:val="center"/>
                </w:tcPr>
                <w:p>
                  <w:pPr>
                    <w:widowControl/>
                    <w:jc w:val="center"/>
                  </w:pPr>
                  <w:r>
                    <w:rPr>
                      <w:rFonts w:hint="eastAsia"/>
                      <w:lang w:val="en-US" w:eastAsia="zh-CN"/>
                    </w:rPr>
                    <w:t>25</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pPr>
                  <w:r>
                    <w:rPr>
                      <w:rFonts w:hint="eastAsia"/>
                    </w:rPr>
                    <w:t>注册审批完成</w:t>
                  </w:r>
                  <w:r>
                    <w:t>期限</w:t>
                  </w:r>
                </w:p>
              </w:tc>
              <w:tc>
                <w:tcPr>
                  <w:tcW w:w="5954" w:type="dxa"/>
                  <w:tcBorders>
                    <w:tl2br w:val="nil"/>
                    <w:tr2bl w:val="nil"/>
                  </w:tcBorders>
                  <w:noWrap w:val="0"/>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（日历天）：</w:t>
                  </w:r>
                </w:p>
                <w:p>
                  <w:pPr>
                    <w:widowControl/>
                    <w:spacing w:line="360" w:lineRule="exact"/>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60天以内得10分。</w:t>
                  </w:r>
                </w:p>
                <w:p>
                  <w:pPr>
                    <w:widowControl/>
                    <w:spacing w:line="360" w:lineRule="exact"/>
                    <w:jc w:val="left"/>
                  </w:pPr>
                  <w:r>
                    <w:rPr>
                      <w:rFonts w:hint="eastAsia" w:ascii="Times New Roman" w:hAnsi="Times New Roman"/>
                      <w:color w:val="000000"/>
                      <w:kern w:val="0"/>
                      <w:szCs w:val="21"/>
                      <w:lang w:val="en-US" w:eastAsia="zh-CN"/>
                    </w:rPr>
                    <w:t>60天以上</w:t>
                  </w:r>
                  <w:r>
                    <w:rPr>
                      <w:rFonts w:ascii="Times New Roman" w:hAnsi="Times New Roman"/>
                      <w:color w:val="000000"/>
                      <w:kern w:val="0"/>
                      <w:szCs w:val="21"/>
                    </w:rPr>
                    <w:t>不得分。</w:t>
                  </w:r>
                </w:p>
              </w:tc>
              <w:tc>
                <w:tcPr>
                  <w:tcW w:w="1090" w:type="dxa"/>
                  <w:tcBorders>
                    <w:tl2br w:val="nil"/>
                    <w:tr2bl w:val="nil"/>
                  </w:tcBorders>
                  <w:noWrap/>
                  <w:vAlign w:val="center"/>
                </w:tcPr>
                <w:p>
                  <w:pPr>
                    <w:widowControl/>
                    <w:jc w:val="center"/>
                  </w:pPr>
                  <w:r>
                    <w:rPr>
                      <w:rFonts w:hint="eastAsia"/>
                      <w:lang w:val="en-US" w:eastAsia="zh-CN"/>
                    </w:rPr>
                    <w:t>10</w:t>
                  </w:r>
                  <w: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autoSpaceDE w:val="0"/>
                    <w:autoSpaceDN w:val="0"/>
                    <w:adjustRightInd w:val="0"/>
                    <w:jc w:val="center"/>
                  </w:pPr>
                  <w:r>
                    <w:t>存续期服务承诺及意外风险应变等</w:t>
                  </w:r>
                </w:p>
              </w:tc>
              <w:tc>
                <w:tcPr>
                  <w:tcW w:w="5954" w:type="dxa"/>
                  <w:tcBorders>
                    <w:tl2br w:val="nil"/>
                    <w:tr2bl w:val="nil"/>
                  </w:tcBorders>
                  <w:noWrap w:val="0"/>
                  <w:vAlign w:val="center"/>
                </w:tcPr>
                <w:p>
                  <w:pPr>
                    <w:widowControl/>
                    <w:jc w:val="left"/>
                  </w:pPr>
                  <w:r>
                    <w:t>存续期服务承诺是否完善</w:t>
                  </w:r>
                  <w:r>
                    <w:rPr>
                      <w:rFonts w:hint="eastAsia"/>
                    </w:rPr>
                    <w:t>、</w:t>
                  </w:r>
                  <w:r>
                    <w:t>合理</w:t>
                  </w:r>
                  <w:r>
                    <w:rPr>
                      <w:rFonts w:hint="eastAsia"/>
                    </w:rPr>
                    <w:t>，对意外风险应变措施强、应急方案完善、可行性强的，</w:t>
                  </w:r>
                  <w:r>
                    <w:rPr>
                      <w:rFonts w:hint="eastAsia"/>
                      <w:lang w:eastAsia="zh-CN"/>
                    </w:rPr>
                    <w:t>有</w:t>
                  </w:r>
                  <w:r>
                    <w:rPr>
                      <w:rFonts w:hint="eastAsia"/>
                    </w:rPr>
                    <w:t>得</w:t>
                  </w:r>
                  <w:r>
                    <w:rPr>
                      <w:rFonts w:hint="eastAsia"/>
                      <w:lang w:val="en-US" w:eastAsia="zh-CN"/>
                    </w:rPr>
                    <w:t>5</w:t>
                  </w:r>
                  <w:r>
                    <w:t>分，缺项不得分。评审内容主要包括但不仅限于：存续期服务承诺以及意外风险应变、备选方案等。</w:t>
                  </w:r>
                </w:p>
              </w:tc>
              <w:tc>
                <w:tcPr>
                  <w:tcW w:w="1090" w:type="dxa"/>
                  <w:tcBorders>
                    <w:tl2br w:val="nil"/>
                    <w:tr2bl w:val="nil"/>
                  </w:tcBorders>
                  <w:noWrap/>
                  <w:vAlign w:val="center"/>
                </w:tcPr>
                <w:p>
                  <w:pPr>
                    <w:widowControl/>
                    <w:jc w:val="center"/>
                  </w:pPr>
                  <w:r>
                    <w:rPr>
                      <w:rFonts w:hint="eastAsia"/>
                      <w:lang w:val="en-US" w:eastAsia="zh-CN"/>
                    </w:rPr>
                    <w:t>5</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noWrap/>
                  <w:vAlign w:val="center"/>
                </w:tcPr>
                <w:p>
                  <w:pPr>
                    <w:autoSpaceDE w:val="0"/>
                    <w:autoSpaceDN w:val="0"/>
                    <w:adjustRightInd w:val="0"/>
                    <w:jc w:val="center"/>
                    <w:rPr>
                      <w:rFonts w:hint="eastAsia"/>
                      <w:lang w:eastAsia="zh-CN"/>
                    </w:rPr>
                  </w:pPr>
                  <w:r>
                    <w:rPr>
                      <w:rFonts w:hint="eastAsia"/>
                      <w:lang w:eastAsia="zh-CN"/>
                    </w:rPr>
                    <w:t>余额包销</w:t>
                  </w:r>
                </w:p>
              </w:tc>
              <w:tc>
                <w:tcPr>
                  <w:tcW w:w="5954" w:type="dxa"/>
                  <w:tcBorders>
                    <w:tl2br w:val="nil"/>
                    <w:tr2bl w:val="nil"/>
                  </w:tcBorders>
                  <w:noWrap w:val="0"/>
                  <w:vAlign w:val="center"/>
                </w:tcPr>
                <w:p>
                  <w:pPr>
                    <w:widowControl/>
                    <w:jc w:val="left"/>
                    <w:rPr>
                      <w:rFonts w:hint="default"/>
                      <w:lang w:val="en-US" w:eastAsia="zh-CN"/>
                    </w:rPr>
                  </w:pPr>
                  <w:r>
                    <w:rPr>
                      <w:rFonts w:hint="eastAsia"/>
                      <w:lang w:eastAsia="zh-CN"/>
                    </w:rPr>
                    <w:t>承诺余额包销得</w:t>
                  </w:r>
                  <w:r>
                    <w:rPr>
                      <w:rFonts w:hint="eastAsia"/>
                      <w:lang w:val="en-US" w:eastAsia="zh-CN"/>
                    </w:rPr>
                    <w:t>5分。</w:t>
                  </w:r>
                </w:p>
              </w:tc>
              <w:tc>
                <w:tcPr>
                  <w:tcW w:w="1090" w:type="dxa"/>
                  <w:tcBorders>
                    <w:tl2br w:val="nil"/>
                    <w:tr2bl w:val="nil"/>
                  </w:tcBorders>
                  <w:noWrap/>
                  <w:vAlign w:val="center"/>
                </w:tcPr>
                <w:p>
                  <w:pPr>
                    <w:widowControl/>
                    <w:jc w:val="center"/>
                    <w:rPr>
                      <w:rFonts w:hint="default"/>
                      <w:lang w:val="en-US" w:eastAsia="zh-CN"/>
                    </w:rPr>
                  </w:pPr>
                  <w:r>
                    <w:rPr>
                      <w:rFonts w:hint="eastAsia"/>
                      <w:lang w:val="en-US" w:eastAsia="zh-CN"/>
                    </w:rPr>
                    <w:t>5分</w:t>
                  </w:r>
                </w:p>
              </w:tc>
            </w:tr>
          </w:tbl>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2"/>
              <w:numPr>
                <w:ilvl w:val="0"/>
                <w:numId w:val="0"/>
              </w:numPr>
              <w:ind w:left="600" w:leftChars="0"/>
              <w:rPr>
                <w:rFonts w:hint="default" w:eastAsia="宋体"/>
                <w:lang w:val="en-US" w:eastAsia="zh-CN"/>
              </w:rPr>
            </w:pPr>
            <w:r>
              <w:rPr>
                <w:rFonts w:hint="eastAsia"/>
                <w:lang w:val="en-US" w:eastAsia="zh-CN"/>
              </w:rPr>
              <w:t xml:space="preserve">                                                               </w:t>
            </w:r>
            <w:r>
              <w:rPr>
                <w:rFonts w:hint="eastAsia"/>
                <w:b/>
                <w:bCs/>
                <w:lang w:val="en-US" w:eastAsia="zh-CN"/>
              </w:rPr>
              <w:t xml:space="preserve">单位：亿元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0"/>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86" w:type="dxa"/>
            <w:tcBorders>
              <w:tl2br w:val="nil"/>
              <w:tr2bl w:val="nil"/>
            </w:tcBorders>
            <w:noWrap w:val="0"/>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val="en-US" w:eastAsia="zh-CN"/>
              </w:rPr>
              <w:t>河南地区协会产品承销业绩</w:t>
            </w:r>
          </w:p>
        </w:tc>
        <w:tc>
          <w:tcPr>
            <w:tcW w:w="5954" w:type="dxa"/>
            <w:tcBorders>
              <w:tl2br w:val="nil"/>
              <w:tr2bl w:val="nil"/>
            </w:tcBorders>
            <w:noWrap w:val="0"/>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2019年1月1日-2021年3月31日河南地区交易商协会产品承销业绩（包括短期融资券、超短期融资券、中期票据、定向工具、资产支持票据），评分标准：</w:t>
            </w:r>
            <w:r>
              <w:rPr>
                <w:rFonts w:hint="eastAsia" w:ascii="宋体" w:hAnsi="宋体" w:eastAsia="宋体" w:cs="宋体"/>
                <w:color w:val="000000"/>
                <w:kern w:val="0"/>
                <w:sz w:val="21"/>
                <w:szCs w:val="21"/>
                <w:lang w:val="en-US" w:eastAsia="zh-CN"/>
              </w:rPr>
              <w:t>承销规模≥150，得10分；100≤承销规模＜150，得7分；50≤承销规模＜100，得5分；承销规模＜50，得3分</w:t>
            </w:r>
            <w:r>
              <w:rPr>
                <w:rStyle w:val="54"/>
                <w:rFonts w:hint="eastAsia" w:ascii="宋体" w:hAnsi="宋体" w:eastAsia="宋体" w:cs="宋体"/>
                <w:sz w:val="21"/>
                <w:szCs w:val="21"/>
              </w:rPr>
              <w:t>。</w:t>
            </w:r>
          </w:p>
          <w:p>
            <w:pPr>
              <w:pStyle w:val="2"/>
              <w:widowControl/>
              <w:jc w:val="left"/>
              <w:rPr>
                <w:rFonts w:ascii="Times New Roman" w:hAnsi="Times New Roman"/>
                <w:color w:val="000000"/>
                <w:kern w:val="0"/>
                <w:szCs w:val="21"/>
              </w:rPr>
            </w:pPr>
            <w:r>
              <w:rPr>
                <w:rFonts w:hint="eastAsia" w:ascii="宋体" w:hAnsi="宋体" w:eastAsia="宋体" w:cs="宋体"/>
                <w:color w:val="auto"/>
                <w:sz w:val="21"/>
                <w:szCs w:val="21"/>
              </w:rPr>
              <w:t>（需提供Wind资讯查询截屏）。</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47"/>
              <w:jc w:val="center"/>
              <w:rPr>
                <w:rFonts w:hint="default"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rPr>
              <w:t>河南地区超短融产品承销业绩</w:t>
            </w:r>
          </w:p>
        </w:tc>
        <w:tc>
          <w:tcPr>
            <w:tcW w:w="5954" w:type="dxa"/>
            <w:tcBorders>
              <w:tl2br w:val="nil"/>
              <w:tr2bl w:val="nil"/>
            </w:tcBorders>
            <w:noWrap w:val="0"/>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2019年1月1日-2021年3月31日河南地区超短期融资券承销业绩，评分标准：</w:t>
            </w:r>
            <w:r>
              <w:rPr>
                <w:rFonts w:hint="eastAsia" w:ascii="宋体" w:hAnsi="宋体" w:eastAsia="宋体" w:cs="宋体"/>
                <w:color w:val="000000"/>
                <w:kern w:val="0"/>
                <w:sz w:val="21"/>
                <w:szCs w:val="21"/>
                <w:lang w:val="en-US" w:eastAsia="zh-CN"/>
              </w:rPr>
              <w:t>承销规模≥70，得10分；50≤承销规模＜70，得7分；30≤承销规模＜50，得5分；承销规模＜30，得3分</w:t>
            </w:r>
            <w:r>
              <w:rPr>
                <w:rStyle w:val="54"/>
                <w:rFonts w:hint="eastAsia" w:ascii="宋体" w:hAnsi="宋体" w:eastAsia="宋体" w:cs="宋体"/>
                <w:sz w:val="21"/>
                <w:szCs w:val="21"/>
              </w:rPr>
              <w:t>。</w:t>
            </w:r>
          </w:p>
          <w:p>
            <w:pPr>
              <w:pStyle w:val="47"/>
              <w:jc w:val="lef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（需提供Wind资讯查询截屏）</w:t>
            </w:r>
          </w:p>
        </w:tc>
        <w:tc>
          <w:tcPr>
            <w:tcW w:w="1090" w:type="dxa"/>
            <w:tcBorders>
              <w:tl2br w:val="nil"/>
              <w:tr2bl w:val="nil"/>
            </w:tcBorders>
            <w:noWrap w:val="0"/>
            <w:vAlign w:val="center"/>
          </w:tcPr>
          <w:p>
            <w:pPr>
              <w:widowControl/>
              <w:spacing w:line="500" w:lineRule="exact"/>
              <w:jc w:val="center"/>
              <w:rPr>
                <w:rFonts w:hint="eastAsia"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对招标人本部资金支持情况</w:t>
            </w:r>
          </w:p>
        </w:tc>
        <w:tc>
          <w:tcPr>
            <w:tcW w:w="5954" w:type="dxa"/>
            <w:tcBorders>
              <w:tl2br w:val="nil"/>
              <w:tr2bl w:val="nil"/>
            </w:tcBorders>
            <w:noWrap w:val="0"/>
            <w:vAlign w:val="center"/>
          </w:tcPr>
          <w:p>
            <w:pPr>
              <w:pStyle w:val="47"/>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2019年1月1日-2021年3月31日对许昌市投资总公司本部新增资金支持情况（包括投债金额、银行贷款）：</w:t>
            </w:r>
            <w:r>
              <w:rPr>
                <w:rFonts w:hint="eastAsia" w:ascii="宋体" w:hAnsi="宋体" w:eastAsia="宋体" w:cs="宋体"/>
                <w:color w:val="000000"/>
                <w:kern w:val="0"/>
                <w:sz w:val="21"/>
                <w:szCs w:val="21"/>
                <w:lang w:val="en-US" w:eastAsia="zh-CN"/>
              </w:rPr>
              <w:t>资金支持≥7，得15分；4≤资金支持＜7，得10分；1≤资金支持＜4，得5分；资金支持＜1，</w:t>
            </w:r>
            <w:r>
              <w:rPr>
                <w:rFonts w:hint="eastAsia" w:ascii="宋体" w:hAnsi="宋体" w:eastAsia="宋体" w:cs="宋体"/>
                <w:color w:val="auto"/>
                <w:sz w:val="21"/>
                <w:szCs w:val="21"/>
                <w:lang w:val="en-US" w:eastAsia="zh-CN"/>
              </w:rPr>
              <w:t>不得分。</w:t>
            </w:r>
          </w:p>
          <w:p>
            <w:pPr>
              <w:pStyle w:val="47"/>
              <w:jc w:val="left"/>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（需提供投债及发放贷款证明文件）</w:t>
            </w:r>
          </w:p>
        </w:tc>
        <w:tc>
          <w:tcPr>
            <w:tcW w:w="1090" w:type="dxa"/>
            <w:tcBorders>
              <w:tl2br w:val="nil"/>
              <w:tr2bl w:val="nil"/>
            </w:tcBorders>
            <w:noWrap w:val="0"/>
            <w:vAlign w:val="center"/>
          </w:tcPr>
          <w:p>
            <w:pPr>
              <w:widowControl/>
              <w:spacing w:line="500" w:lineRule="exact"/>
              <w:jc w:val="center"/>
              <w:rPr>
                <w:rFonts w:hint="default" w:ascii="Times New Roman" w:hAnsi="Times New Roman"/>
                <w:color w:val="000000"/>
                <w:kern w:val="0"/>
                <w:szCs w:val="21"/>
                <w:lang w:val="en-US" w:eastAsia="zh-CN"/>
              </w:rPr>
            </w:pPr>
            <w:r>
              <w:rPr>
                <w:rFonts w:hint="eastAsia" w:ascii="Times New Roman" w:hAnsi="Times New Roman"/>
                <w:color w:val="000000"/>
                <w:kern w:val="0"/>
                <w:szCs w:val="21"/>
                <w:lang w:val="en-US" w:eastAsia="zh-CN"/>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noWrap w:val="0"/>
            <w:vAlign w:val="center"/>
          </w:tcPr>
          <w:p>
            <w:pPr>
              <w:widowControl/>
              <w:jc w:val="left"/>
              <w:rPr>
                <w:rFonts w:hint="default" w:ascii="Times New Roman" w:hAnsi="Times New Roman" w:eastAsia="宋体" w:cs="Times New Roman"/>
                <w:b w:val="0"/>
                <w:bCs/>
                <w:color w:val="000000"/>
                <w:lang w:val="en-US" w:eastAsia="zh-CN"/>
              </w:rPr>
            </w:pPr>
            <w:r>
              <w:rPr>
                <w:rFonts w:hint="eastAsia" w:ascii="宋体" w:hAnsi="宋体" w:eastAsia="宋体" w:cs="宋体"/>
                <w:color w:val="auto"/>
                <w:kern w:val="0"/>
                <w:sz w:val="21"/>
                <w:szCs w:val="21"/>
                <w:lang w:val="en-US" w:eastAsia="zh-CN" w:bidi="ar-SA"/>
              </w:rPr>
              <w:t>本项目拟派项目经理为金融机构总部投资银行部债券市场负责人及以上级别得</w:t>
            </w:r>
            <w:r>
              <w:rPr>
                <w:rFonts w:hint="eastAsia" w:ascii="宋体" w:hAnsi="宋体" w:cs="宋体"/>
                <w:color w:val="auto"/>
                <w:kern w:val="0"/>
                <w:sz w:val="21"/>
                <w:szCs w:val="21"/>
                <w:lang w:val="en-US" w:eastAsia="zh-CN" w:bidi="ar-SA"/>
              </w:rPr>
              <w:t>5</w:t>
            </w:r>
            <w:r>
              <w:rPr>
                <w:rFonts w:hint="eastAsia" w:ascii="宋体" w:hAnsi="宋体" w:eastAsia="宋体" w:cs="宋体"/>
                <w:color w:val="auto"/>
                <w:kern w:val="0"/>
                <w:sz w:val="21"/>
                <w:szCs w:val="21"/>
                <w:lang w:val="en-US" w:eastAsia="zh-CN" w:bidi="ar-SA"/>
              </w:rPr>
              <w:t>分，否则不得分；</w:t>
            </w:r>
            <w:r>
              <w:rPr>
                <w:rFonts w:hint="eastAsia" w:ascii="宋体" w:hAnsi="宋体" w:eastAsia="宋体" w:cs="宋体"/>
                <w:b w:val="0"/>
                <w:bCs/>
                <w:color w:val="000000"/>
              </w:rPr>
              <w:t>拟派项目主办人员201</w:t>
            </w:r>
            <w:r>
              <w:rPr>
                <w:rFonts w:hint="eastAsia" w:ascii="宋体" w:hAnsi="宋体" w:eastAsia="宋体" w:cs="宋体"/>
                <w:b w:val="0"/>
                <w:bCs/>
                <w:color w:val="000000"/>
                <w:lang w:val="en-US" w:eastAsia="zh-CN"/>
              </w:rPr>
              <w:t>9</w:t>
            </w:r>
            <w:r>
              <w:rPr>
                <w:rFonts w:hint="eastAsia" w:ascii="宋体" w:hAnsi="宋体" w:eastAsia="宋体" w:cs="宋体"/>
                <w:b w:val="0"/>
                <w:bCs/>
                <w:color w:val="000000"/>
              </w:rPr>
              <w:t>年</w:t>
            </w:r>
            <w:r>
              <w:rPr>
                <w:rFonts w:hint="eastAsia" w:ascii="宋体" w:hAnsi="宋体" w:cs="宋体"/>
                <w:b w:val="0"/>
                <w:bCs/>
                <w:color w:val="000000"/>
                <w:lang w:eastAsia="zh-CN"/>
              </w:rPr>
              <w:t>—</w:t>
            </w:r>
            <w:r>
              <w:rPr>
                <w:rFonts w:hint="eastAsia" w:ascii="宋体" w:hAnsi="宋体" w:cs="宋体"/>
                <w:b w:val="0"/>
                <w:bCs/>
                <w:color w:val="000000"/>
                <w:lang w:val="en-US" w:eastAsia="zh-CN"/>
              </w:rPr>
              <w:t>2021年3月31日</w:t>
            </w:r>
            <w:r>
              <w:rPr>
                <w:rFonts w:hint="eastAsia" w:ascii="宋体" w:hAnsi="宋体" w:eastAsia="宋体" w:cs="宋体"/>
                <w:b w:val="0"/>
                <w:bCs/>
                <w:color w:val="000000"/>
              </w:rPr>
              <w:t>完成发</w:t>
            </w:r>
            <w:r>
              <w:rPr>
                <w:rFonts w:hint="eastAsia" w:ascii="宋体" w:hAnsi="宋体" w:cs="宋体"/>
                <w:b w:val="0"/>
                <w:bCs/>
                <w:color w:val="000000"/>
                <w:lang w:eastAsia="zh-CN"/>
              </w:rPr>
              <w:t>行超短融产品</w:t>
            </w:r>
            <w:r>
              <w:rPr>
                <w:rFonts w:hint="eastAsia" w:ascii="宋体" w:hAnsi="宋体" w:eastAsia="宋体" w:cs="宋体"/>
                <w:b w:val="0"/>
                <w:bCs/>
                <w:color w:val="000000"/>
              </w:rPr>
              <w:t>3支</w:t>
            </w:r>
            <w:r>
              <w:rPr>
                <w:rFonts w:hint="eastAsia" w:ascii="宋体" w:hAnsi="宋体" w:cs="宋体"/>
                <w:b w:val="0"/>
                <w:bCs/>
                <w:color w:val="000000"/>
                <w:lang w:eastAsia="zh-CN"/>
              </w:rPr>
              <w:t>及</w:t>
            </w:r>
            <w:r>
              <w:rPr>
                <w:rFonts w:hint="eastAsia" w:ascii="宋体" w:hAnsi="宋体" w:eastAsia="宋体" w:cs="宋体"/>
                <w:b w:val="0"/>
                <w:bCs/>
                <w:color w:val="000000"/>
              </w:rPr>
              <w:t>以上得</w:t>
            </w:r>
            <w:r>
              <w:rPr>
                <w:rFonts w:hint="eastAsia" w:ascii="宋体" w:hAnsi="宋体" w:cs="宋体"/>
                <w:b w:val="0"/>
                <w:bCs/>
                <w:color w:val="000000"/>
                <w:lang w:val="en-US" w:eastAsia="zh-CN"/>
              </w:rPr>
              <w:t>5</w:t>
            </w:r>
            <w:r>
              <w:rPr>
                <w:rFonts w:hint="eastAsia" w:ascii="宋体" w:hAnsi="宋体" w:eastAsia="宋体" w:cs="宋体"/>
                <w:b w:val="0"/>
                <w:bCs/>
                <w:color w:val="000000"/>
              </w:rPr>
              <w:t>分</w:t>
            </w:r>
            <w:r>
              <w:rPr>
                <w:rFonts w:hint="eastAsia" w:ascii="宋体" w:hAnsi="宋体" w:eastAsia="宋体" w:cs="宋体"/>
                <w:b w:val="0"/>
                <w:bCs/>
                <w:color w:val="000000"/>
                <w:lang w:eastAsia="zh-CN"/>
              </w:rPr>
              <w:t>；</w:t>
            </w:r>
            <w:r>
              <w:rPr>
                <w:rFonts w:hint="eastAsia" w:ascii="宋体" w:hAnsi="宋体" w:cs="宋体"/>
                <w:b w:val="0"/>
                <w:bCs/>
                <w:color w:val="000000"/>
                <w:lang w:eastAsia="zh-CN"/>
              </w:rPr>
              <w:t>否则不得分</w:t>
            </w:r>
            <w:r>
              <w:rPr>
                <w:rFonts w:hint="eastAsia" w:ascii="Times New Roman" w:hAnsi="Times New Roman" w:eastAsia="宋体" w:cs="Times New Roman"/>
                <w:b w:val="0"/>
                <w:bCs/>
                <w:color w:val="000000"/>
                <w:lang w:val="en-US" w:eastAsia="zh-CN"/>
              </w:rPr>
              <w:t>。</w:t>
            </w:r>
          </w:p>
          <w:p>
            <w:pPr>
              <w:pStyle w:val="2"/>
              <w:rPr>
                <w:rFonts w:ascii="Times New Roman" w:hAnsi="Times New Roman"/>
                <w:kern w:val="0"/>
                <w:szCs w:val="21"/>
                <w:highlight w:val="yellow"/>
              </w:rPr>
            </w:pPr>
            <w:r>
              <w:rPr>
                <w:rFonts w:ascii="Times New Roman" w:hAnsi="Times New Roman" w:eastAsia="宋体" w:cs="Times New Roman"/>
                <w:b w:val="0"/>
                <w:bCs/>
                <w:color w:val="000000"/>
              </w:rPr>
              <w:t>（需提供相关证明）</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highlight w:val="yellow"/>
              </w:rPr>
            </w:pPr>
            <w:r>
              <w:rPr>
                <w:rFonts w:hint="eastAsia" w:ascii="Times New Roman" w:hAnsi="Times New Roman"/>
                <w:color w:val="000000"/>
                <w:kern w:val="0"/>
                <w:szCs w:val="21"/>
                <w:highlight w:val="none"/>
                <w:lang w:val="en-US" w:eastAsia="zh-CN"/>
              </w:rPr>
              <w:t>10</w:t>
            </w:r>
            <w:r>
              <w:rPr>
                <w:rFonts w:hint="eastAsia" w:ascii="Times New Roman" w:hAnsi="Times New Roman"/>
                <w:color w:val="000000"/>
                <w:kern w:val="0"/>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3"/>
            <w:tcBorders>
              <w:tl2br w:val="nil"/>
              <w:tr2bl w:val="nil"/>
            </w:tcBorders>
            <w:noWrap w:val="0"/>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7、承销业绩一览表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10、</w:t>
      </w:r>
      <w:r>
        <w:rPr>
          <w:rFonts w:hint="eastAsia" w:ascii="仿宋" w:hAnsi="仿宋" w:eastAsia="仿宋" w:cs="仿宋"/>
          <w:b w:val="0"/>
          <w:bCs w:val="0"/>
          <w:sz w:val="30"/>
          <w:szCs w:val="30"/>
        </w:rPr>
        <w:t>拟投入本项目人员汇总表</w:t>
      </w:r>
    </w:p>
    <w:p>
      <w:pPr>
        <w:ind w:firstLine="600" w:firstLineChars="200"/>
        <w:rPr>
          <w:rFonts w:hint="eastAsia" w:ascii="仿宋" w:hAnsi="仿宋" w:eastAsia="仿宋" w:cs="仿宋"/>
          <w:b w:val="0"/>
          <w:bCs w:val="0"/>
          <w:kern w:val="0"/>
          <w:sz w:val="30"/>
          <w:szCs w:val="30"/>
          <w:lang w:val="en-US" w:eastAsia="zh-CN"/>
        </w:rPr>
      </w:pP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w:t>
      </w:r>
      <w:r>
        <w:rPr>
          <w:rFonts w:hint="eastAsia" w:ascii="仿宋" w:hAnsi="仿宋" w:eastAsia="仿宋" w:cs="仿宋_GB2312"/>
          <w:sz w:val="30"/>
          <w:szCs w:val="30"/>
          <w:lang w:eastAsia="zh-CN"/>
        </w:rPr>
        <w:t>本部</w:t>
      </w:r>
      <w:r>
        <w:rPr>
          <w:rFonts w:hint="eastAsia" w:ascii="仿宋" w:hAnsi="仿宋" w:eastAsia="仿宋" w:cs="仿宋_GB2312"/>
          <w:sz w:val="30"/>
          <w:szCs w:val="30"/>
        </w:rPr>
        <w:t>）融资</w:t>
      </w:r>
      <w:r>
        <w:rPr>
          <w:rFonts w:hint="eastAsia" w:ascii="仿宋" w:hAnsi="仿宋" w:eastAsia="仿宋" w:cs="仿宋_GB2312"/>
          <w:sz w:val="30"/>
          <w:szCs w:val="30"/>
          <w:lang w:eastAsia="zh-CN"/>
        </w:rPr>
        <w:t>、投债</w:t>
      </w:r>
      <w:r>
        <w:rPr>
          <w:rFonts w:hint="eastAsia" w:ascii="仿宋" w:hAnsi="仿宋" w:eastAsia="仿宋" w:cs="仿宋_GB2312"/>
          <w:sz w:val="30"/>
          <w:szCs w:val="30"/>
        </w:rPr>
        <w:t>支持证明文件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12</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cs="仿宋"/>
          <w:sz w:val="30"/>
          <w:szCs w:val="30"/>
        </w:rPr>
        <w:t>券</w:t>
      </w:r>
      <w:r>
        <w:rPr>
          <w:rFonts w:hint="eastAsia" w:ascii="仿宋" w:hAnsi="仿宋" w:eastAsia="仿宋"/>
          <w:sz w:val="30"/>
          <w:szCs w:val="30"/>
        </w:rPr>
        <w:t>项目</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w:t>
      </w:r>
      <w:r>
        <w:rPr>
          <w:rFonts w:hint="eastAsia" w:ascii="仿宋" w:hAnsi="仿宋" w:eastAsia="仿宋" w:cs="仿宋_GB2312"/>
          <w:kern w:val="0"/>
          <w:sz w:val="30"/>
          <w:szCs w:val="30"/>
          <w:lang w:eastAsia="zh-CN"/>
        </w:rPr>
        <w:t>费</w:t>
      </w:r>
      <w:r>
        <w:rPr>
          <w:rFonts w:hint="eastAsia" w:ascii="仿宋" w:hAnsi="仿宋" w:eastAsia="仿宋" w:cs="仿宋_GB2312"/>
          <w:kern w:val="0"/>
          <w:sz w:val="30"/>
          <w:szCs w:val="30"/>
        </w:rPr>
        <w:t>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cs="仿宋"/>
          <w:sz w:val="30"/>
          <w:szCs w:val="30"/>
        </w:rPr>
        <w:t>超短期融</w:t>
      </w:r>
      <w:r>
        <w:rPr>
          <w:rFonts w:hint="eastAsia" w:ascii="仿宋" w:hAnsi="仿宋" w:eastAsia="仿宋" w:cs="仿宋"/>
          <w:sz w:val="30"/>
          <w:szCs w:val="30"/>
          <w:lang w:eastAsia="zh-CN"/>
        </w:rPr>
        <w:t>资</w:t>
      </w:r>
      <w:r>
        <w:rPr>
          <w:rFonts w:hint="eastAsia" w:ascii="仿宋" w:hAnsi="仿宋" w:eastAsia="仿宋"/>
          <w:sz w:val="30"/>
          <w:szCs w:val="30"/>
          <w:lang w:eastAsia="zh-CN"/>
        </w:rPr>
        <w:t>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8"/>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4"/>
        <w:spacing w:line="600" w:lineRule="exact"/>
        <w:ind w:left="200" w:firstLine="0" w:firstLineChars="0"/>
        <w:rPr>
          <w:rFonts w:ascii="仿宋" w:hAnsi="仿宋" w:eastAsia="仿宋" w:cs="仿宋_GB2312"/>
          <w:sz w:val="30"/>
          <w:szCs w:val="30"/>
        </w:rPr>
      </w:pPr>
    </w:p>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6"/>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2"/>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2"/>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2"/>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2"/>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附件7、</w:t>
      </w:r>
    </w:p>
    <w:p>
      <w:pPr>
        <w:pStyle w:val="44"/>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 xml:space="preserve">             </w:t>
      </w:r>
      <w:r>
        <w:rPr>
          <w:rFonts w:hint="eastAsia" w:ascii="仿宋" w:hAnsi="仿宋" w:eastAsia="仿宋" w:cs="仿宋_GB2312"/>
          <w:b/>
          <w:bCs/>
          <w:color w:val="000000"/>
          <w:kern w:val="0"/>
          <w:sz w:val="30"/>
          <w:szCs w:val="30"/>
        </w:rPr>
        <w:t>近两年承销业绩一览表</w:t>
      </w:r>
    </w:p>
    <w:tbl>
      <w:tblPr>
        <w:tblStyle w:val="16"/>
        <w:tblW w:w="7505" w:type="dxa"/>
        <w:tblInd w:w="154" w:type="dxa"/>
        <w:tblLayout w:type="fixed"/>
        <w:tblCellMar>
          <w:top w:w="0" w:type="dxa"/>
          <w:left w:w="0" w:type="dxa"/>
          <w:bottom w:w="0" w:type="dxa"/>
          <w:right w:w="0" w:type="dxa"/>
        </w:tblCellMar>
      </w:tblPr>
      <w:tblGrid>
        <w:gridCol w:w="2380"/>
        <w:gridCol w:w="3950"/>
        <w:gridCol w:w="1175"/>
      </w:tblGrid>
      <w:tr>
        <w:tblPrEx>
          <w:tblCellMar>
            <w:top w:w="0" w:type="dxa"/>
            <w:left w:w="0" w:type="dxa"/>
            <w:bottom w:w="0" w:type="dxa"/>
            <w:right w:w="0" w:type="dxa"/>
          </w:tblCellMar>
        </w:tblPrEx>
        <w:trPr>
          <w:trHeight w:val="600"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19</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1月1日—</w:t>
            </w:r>
            <w:r>
              <w:rPr>
                <w:rFonts w:hint="eastAsia" w:ascii="宋体" w:hAnsi="宋体" w:cs="宋体"/>
                <w:color w:val="000000" w:themeColor="text1"/>
                <w:kern w:val="0"/>
                <w:sz w:val="24"/>
                <w:szCs w:val="24"/>
                <w:lang w:eastAsia="zh-CN"/>
                <w14:textFill>
                  <w14:solidFill>
                    <w14:schemeClr w14:val="tx1"/>
                  </w14:solidFill>
                </w14:textFill>
              </w:rPr>
              <w:tab/>
            </w: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21</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3月31日</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合计</w:t>
            </w: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hint="eastAsia" w:ascii="Times New Roman" w:hAnsi="Times New Roman"/>
                <w:color w:val="000000"/>
                <w:kern w:val="0"/>
                <w:szCs w:val="21"/>
                <w:lang w:val="en-US" w:eastAsia="zh-CN"/>
              </w:rPr>
            </w:pPr>
            <w:r>
              <w:rPr>
                <w:rFonts w:hint="eastAsia" w:ascii="Times New Roman" w:hAnsi="Times New Roman"/>
                <w:color w:val="000000"/>
                <w:kern w:val="0"/>
                <w:szCs w:val="21"/>
                <w:lang w:val="en-US" w:eastAsia="zh-CN"/>
              </w:rPr>
              <w:t>河南地区协会产品</w:t>
            </w:r>
          </w:p>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000000"/>
                <w:kern w:val="0"/>
                <w:szCs w:val="21"/>
                <w:lang w:val="en-US" w:eastAsia="zh-CN"/>
              </w:rPr>
              <w:t>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河南地区超短融产品</w:t>
            </w:r>
          </w:p>
          <w:p>
            <w:pPr>
              <w:pStyle w:val="47"/>
              <w:jc w:val="center"/>
              <w:rPr>
                <w:rFonts w:hint="eastAsia" w:ascii="Times New Roman" w:hAnsi="Times New Roman" w:eastAsia="宋体" w:cs="Times New Roman"/>
                <w:color w:val="000000"/>
                <w:kern w:val="0"/>
                <w:sz w:val="21"/>
                <w:szCs w:val="21"/>
                <w:lang w:val="en-US" w:eastAsia="zh-CN" w:bidi="ar-SA"/>
              </w:rPr>
            </w:pPr>
            <w:r>
              <w:rPr>
                <w:rFonts w:hint="eastAsia" w:ascii="宋体" w:hAnsi="宋体" w:eastAsia="宋体" w:cs="宋体"/>
                <w:color w:val="auto"/>
                <w:sz w:val="21"/>
                <w:szCs w:val="21"/>
                <w:lang w:val="en-US" w:eastAsia="zh-CN"/>
              </w:rPr>
              <w:t>承销业绩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7"/>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对招标人资金</w:t>
            </w:r>
          </w:p>
          <w:p>
            <w:pPr>
              <w:pStyle w:val="47"/>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rPr>
              <w:t>支持情况</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bl>
    <w:p>
      <w:pPr>
        <w:pStyle w:val="44"/>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pStyle w:val="2"/>
        <w:rPr>
          <w:rFonts w:ascii="仿宋" w:hAnsi="仿宋" w:eastAsia="仿宋" w:cs="仿宋_GB2312"/>
          <w:color w:val="111318"/>
          <w:kern w:val="0"/>
          <w:sz w:val="30"/>
          <w:szCs w:val="30"/>
        </w:rPr>
      </w:pPr>
    </w:p>
    <w:p>
      <w:pPr>
        <w:spacing w:line="600" w:lineRule="exact"/>
        <w:rPr>
          <w:rFonts w:ascii="仿宋" w:hAnsi="仿宋" w:eastAsia="仿宋" w:cs="仿宋_GB2312"/>
          <w:sz w:val="30"/>
          <w:szCs w:val="30"/>
        </w:rPr>
      </w:pPr>
    </w:p>
    <w:p>
      <w:pPr>
        <w:pStyle w:val="2"/>
        <w:rPr>
          <w:rFonts w:ascii="仿宋" w:hAnsi="仿宋" w:eastAsia="仿宋" w:cs="仿宋_GB2312"/>
          <w:sz w:val="30"/>
          <w:szCs w:val="30"/>
        </w:rPr>
      </w:pPr>
    </w:p>
    <w:p>
      <w:pPr>
        <w:pStyle w:val="44"/>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4"/>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4"/>
        <w:spacing w:line="600" w:lineRule="exact"/>
        <w:ind w:left="200" w:firstLine="0" w:firstLineChars="0"/>
        <w:rPr>
          <w:rFonts w:ascii="仿宋" w:hAnsi="仿宋" w:eastAsia="仿宋"/>
          <w:sz w:val="32"/>
          <w:szCs w:val="32"/>
        </w:rPr>
      </w:pPr>
    </w:p>
    <w:p>
      <w:pPr>
        <w:pStyle w:val="44"/>
        <w:spacing w:line="600" w:lineRule="exact"/>
        <w:ind w:left="200" w:firstLine="0" w:firstLineChars="0"/>
        <w:rPr>
          <w:rFonts w:ascii="仿宋" w:hAnsi="仿宋" w:eastAsia="仿宋"/>
          <w:sz w:val="32"/>
          <w:szCs w:val="32"/>
        </w:rPr>
      </w:pPr>
    </w:p>
    <w:p>
      <w:pPr>
        <w:rPr>
          <w:rFonts w:hint="eastAsia" w:ascii="仿宋" w:hAnsi="仿宋" w:eastAsia="仿宋" w:cs="仿宋_GB2312"/>
          <w:sz w:val="30"/>
          <w:szCs w:val="30"/>
        </w:rPr>
      </w:pPr>
    </w:p>
    <w:p>
      <w:pPr>
        <w:rPr>
          <w:rFonts w:hint="eastAsia" w:ascii="仿宋" w:hAnsi="仿宋" w:eastAsia="仿宋" w:cs="仿宋_GB2312"/>
          <w:color w:val="111318"/>
          <w:kern w:val="0"/>
          <w:sz w:val="30"/>
          <w:szCs w:val="30"/>
        </w:rPr>
      </w:pPr>
      <w:r>
        <w:rPr>
          <w:rFonts w:hint="eastAsia" w:ascii="仿宋" w:hAnsi="仿宋" w:eastAsia="仿宋" w:cs="仿宋_GB2312"/>
          <w:sz w:val="30"/>
          <w:szCs w:val="30"/>
        </w:rPr>
        <w:t>附件</w:t>
      </w: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w:t>
      </w:r>
      <w:r>
        <w:rPr>
          <w:rFonts w:hint="eastAsia" w:ascii="仿宋" w:hAnsi="仿宋" w:eastAsia="仿宋" w:cs="仿宋_GB2312"/>
          <w:sz w:val="30"/>
          <w:szCs w:val="30"/>
          <w:lang w:eastAsia="zh-CN"/>
        </w:rPr>
        <w:t>本部</w:t>
      </w:r>
      <w:r>
        <w:rPr>
          <w:rFonts w:hint="eastAsia" w:ascii="仿宋" w:hAnsi="仿宋" w:eastAsia="仿宋" w:cs="仿宋_GB2312"/>
          <w:sz w:val="30"/>
          <w:szCs w:val="30"/>
        </w:rPr>
        <w:t>）融资</w:t>
      </w:r>
      <w:r>
        <w:rPr>
          <w:rFonts w:hint="eastAsia" w:ascii="仿宋" w:hAnsi="仿宋" w:eastAsia="仿宋" w:cs="仿宋_GB2312"/>
          <w:sz w:val="30"/>
          <w:szCs w:val="30"/>
          <w:lang w:eastAsia="zh-CN"/>
        </w:rPr>
        <w:t>、投债</w:t>
      </w:r>
      <w:r>
        <w:rPr>
          <w:rFonts w:hint="eastAsia" w:ascii="仿宋" w:hAnsi="仿宋" w:eastAsia="仿宋" w:cs="仿宋_GB2312"/>
          <w:sz w:val="30"/>
          <w:szCs w:val="30"/>
        </w:rPr>
        <w:t>支持证明文件</w:t>
      </w: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12</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cs="仿宋"/>
          <w:b w:val="0"/>
          <w:bCs/>
          <w:color w:val="05060A"/>
          <w:kern w:val="0"/>
          <w:sz w:val="32"/>
          <w:szCs w:val="32"/>
        </w:rPr>
        <w:t>超短期融债券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交易商协会</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hint="eastAsia" w:ascii="仿宋" w:hAnsi="仿宋" w:eastAsia="仿宋" w:cs="仿宋_GB2312"/>
          <w:sz w:val="30"/>
          <w:szCs w:val="30"/>
          <w:lang w:eastAsia="zh-CN"/>
        </w:rPr>
      </w:pPr>
      <w:r>
        <w:rPr>
          <w:rFonts w:hint="eastAsia" w:ascii="仿宋" w:hAnsi="仿宋" w:eastAsia="仿宋" w:cs="仿宋_GB2312"/>
          <w:sz w:val="30"/>
          <w:szCs w:val="30"/>
        </w:rPr>
        <w:t>3、投标人其他优势介绍</w:t>
      </w:r>
      <w:r>
        <w:rPr>
          <w:rFonts w:hint="eastAsia" w:ascii="仿宋" w:hAnsi="仿宋" w:eastAsia="仿宋" w:cs="仿宋_GB2312"/>
          <w:sz w:val="30"/>
          <w:szCs w:val="30"/>
          <w:lang w:eastAsia="zh-CN"/>
        </w:rPr>
        <w:t>；</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15D78D1"/>
    <w:rsid w:val="039E0532"/>
    <w:rsid w:val="04D4719E"/>
    <w:rsid w:val="05E9194A"/>
    <w:rsid w:val="0738438B"/>
    <w:rsid w:val="0A72200F"/>
    <w:rsid w:val="0B1647B4"/>
    <w:rsid w:val="0B496569"/>
    <w:rsid w:val="0C3F1BC6"/>
    <w:rsid w:val="14300049"/>
    <w:rsid w:val="161B2363"/>
    <w:rsid w:val="1961701A"/>
    <w:rsid w:val="1FC53A57"/>
    <w:rsid w:val="217E5477"/>
    <w:rsid w:val="24052FB3"/>
    <w:rsid w:val="2A575280"/>
    <w:rsid w:val="31082F86"/>
    <w:rsid w:val="31961E9A"/>
    <w:rsid w:val="321F571A"/>
    <w:rsid w:val="33575196"/>
    <w:rsid w:val="372C139E"/>
    <w:rsid w:val="393F7483"/>
    <w:rsid w:val="406F6FE9"/>
    <w:rsid w:val="419D10B9"/>
    <w:rsid w:val="41E47C0E"/>
    <w:rsid w:val="44692445"/>
    <w:rsid w:val="450867D9"/>
    <w:rsid w:val="4AF01C50"/>
    <w:rsid w:val="4CAC0371"/>
    <w:rsid w:val="4E073EC5"/>
    <w:rsid w:val="4F172F11"/>
    <w:rsid w:val="4FFC21EB"/>
    <w:rsid w:val="524D5083"/>
    <w:rsid w:val="555A6F32"/>
    <w:rsid w:val="57273295"/>
    <w:rsid w:val="58A53346"/>
    <w:rsid w:val="5D7D2842"/>
    <w:rsid w:val="5DC54FB9"/>
    <w:rsid w:val="5F7472CA"/>
    <w:rsid w:val="5FD858A9"/>
    <w:rsid w:val="606C3ED4"/>
    <w:rsid w:val="6520361E"/>
    <w:rsid w:val="67B90C1B"/>
    <w:rsid w:val="6FF21802"/>
    <w:rsid w:val="700F2CAD"/>
    <w:rsid w:val="7CC109E0"/>
    <w:rsid w:val="7D2D147E"/>
    <w:rsid w:val="7EF540E5"/>
    <w:rsid w:val="7FB64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3"/>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4"/>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5">
    <w:name w:val="annotation text"/>
    <w:basedOn w:val="1"/>
    <w:link w:val="36"/>
    <w:unhideWhenUsed/>
    <w:qFormat/>
    <w:uiPriority w:val="99"/>
    <w:pPr>
      <w:jc w:val="left"/>
    </w:pPr>
    <w:rPr>
      <w:rFonts w:asciiTheme="minorHAnsi" w:hAnsiTheme="minorHAnsi" w:eastAsiaTheme="minorEastAsia" w:cstheme="minorBidi"/>
    </w:rPr>
  </w:style>
  <w:style w:type="paragraph" w:styleId="6">
    <w:name w:val="Salutation"/>
    <w:basedOn w:val="1"/>
    <w:next w:val="1"/>
    <w:link w:val="35"/>
    <w:unhideWhenUsed/>
    <w:qFormat/>
    <w:uiPriority w:val="99"/>
    <w:rPr>
      <w:rFonts w:ascii="Times New Roman" w:hAnsi="Times New Roman" w:eastAsiaTheme="minorEastAsia" w:cstheme="minorBidi"/>
      <w:sz w:val="32"/>
      <w:szCs w:val="32"/>
    </w:rPr>
  </w:style>
  <w:style w:type="paragraph" w:styleId="7">
    <w:name w:val="Closing"/>
    <w:basedOn w:val="1"/>
    <w:link w:val="40"/>
    <w:unhideWhenUsed/>
    <w:qFormat/>
    <w:uiPriority w:val="99"/>
    <w:pPr>
      <w:ind w:left="100" w:leftChars="2100"/>
    </w:pPr>
    <w:rPr>
      <w:rFonts w:ascii="Times New Roman" w:hAnsi="Times New Roman" w:eastAsiaTheme="minorEastAsia" w:cstheme="minorBidi"/>
      <w:sz w:val="32"/>
      <w:szCs w:val="32"/>
    </w:rPr>
  </w:style>
  <w:style w:type="paragraph" w:styleId="8">
    <w:name w:val="Plain Text"/>
    <w:basedOn w:val="1"/>
    <w:link w:val="38"/>
    <w:qFormat/>
    <w:uiPriority w:val="0"/>
    <w:rPr>
      <w:rFonts w:ascii="宋体" w:hAnsi="Courier New" w:eastAsiaTheme="minorEastAsia" w:cstheme="minorBidi"/>
    </w:rPr>
  </w:style>
  <w:style w:type="paragraph" w:styleId="9">
    <w:name w:val="Date"/>
    <w:basedOn w:val="1"/>
    <w:next w:val="1"/>
    <w:link w:val="39"/>
    <w:unhideWhenUsed/>
    <w:qFormat/>
    <w:uiPriority w:val="99"/>
    <w:pPr>
      <w:ind w:left="100" w:leftChars="2500"/>
    </w:pPr>
    <w:rPr>
      <w:rFonts w:asciiTheme="minorHAnsi" w:hAnsiTheme="minorHAnsi" w:eastAsiaTheme="minorEastAsia" w:cstheme="minorBidi"/>
    </w:rPr>
  </w:style>
  <w:style w:type="paragraph" w:styleId="10">
    <w:name w:val="Balloon Text"/>
    <w:basedOn w:val="1"/>
    <w:link w:val="41"/>
    <w:unhideWhenUsed/>
    <w:qFormat/>
    <w:uiPriority w:val="99"/>
    <w:rPr>
      <w:rFonts w:asciiTheme="minorHAnsi" w:hAnsiTheme="minorHAnsi" w:eastAsiaTheme="minorEastAsia" w:cstheme="minorBidi"/>
      <w:sz w:val="16"/>
      <w:szCs w:val="16"/>
    </w:rPr>
  </w:style>
  <w:style w:type="paragraph" w:styleId="11">
    <w:name w:val="footer"/>
    <w:basedOn w:val="1"/>
    <w:link w:val="22"/>
    <w:unhideWhenUsed/>
    <w:qFormat/>
    <w:uiPriority w:val="99"/>
    <w:pPr>
      <w:tabs>
        <w:tab w:val="center" w:pos="4153"/>
        <w:tab w:val="right" w:pos="8306"/>
      </w:tabs>
      <w:snapToGrid w:val="0"/>
      <w:jc w:val="left"/>
    </w:pPr>
    <w:rPr>
      <w:sz w:val="18"/>
      <w:szCs w:val="18"/>
    </w:rPr>
  </w:style>
  <w:style w:type="paragraph" w:styleId="12">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4">
    <w:name w:val="Normal (Web)"/>
    <w:basedOn w:val="1"/>
    <w:qFormat/>
    <w:uiPriority w:val="0"/>
    <w:pPr>
      <w:spacing w:beforeAutospacing="1" w:afterAutospacing="1"/>
      <w:jc w:val="left"/>
    </w:pPr>
    <w:rPr>
      <w:rFonts w:cs="Times New Roman"/>
      <w:kern w:val="0"/>
      <w:sz w:val="24"/>
    </w:rPr>
  </w:style>
  <w:style w:type="paragraph" w:styleId="15">
    <w:name w:val="annotation subject"/>
    <w:basedOn w:val="5"/>
    <w:next w:val="5"/>
    <w:link w:val="37"/>
    <w:unhideWhenUsed/>
    <w:qFormat/>
    <w:uiPriority w:val="99"/>
    <w:rPr>
      <w:b/>
      <w:bCs/>
    </w:rPr>
  </w:style>
  <w:style w:type="table" w:styleId="17">
    <w:name w:val="Table Grid"/>
    <w:basedOn w:val="16"/>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FollowedHyperlink"/>
    <w:qFormat/>
    <w:uiPriority w:val="0"/>
    <w:rPr>
      <w:color w:val="800080"/>
      <w:u w:val="single"/>
    </w:rPr>
  </w:style>
  <w:style w:type="character" w:styleId="20">
    <w:name w:val="annotation reference"/>
    <w:basedOn w:val="18"/>
    <w:unhideWhenUsed/>
    <w:qFormat/>
    <w:uiPriority w:val="99"/>
    <w:rPr>
      <w:sz w:val="21"/>
      <w:szCs w:val="21"/>
    </w:rPr>
  </w:style>
  <w:style w:type="character" w:customStyle="1" w:styleId="21">
    <w:name w:val="页眉 Char"/>
    <w:basedOn w:val="18"/>
    <w:link w:val="12"/>
    <w:qFormat/>
    <w:uiPriority w:val="99"/>
    <w:rPr>
      <w:sz w:val="18"/>
      <w:szCs w:val="18"/>
    </w:rPr>
  </w:style>
  <w:style w:type="character" w:customStyle="1" w:styleId="22">
    <w:name w:val="页脚 Char"/>
    <w:basedOn w:val="18"/>
    <w:link w:val="11"/>
    <w:qFormat/>
    <w:uiPriority w:val="99"/>
    <w:rPr>
      <w:sz w:val="18"/>
      <w:szCs w:val="18"/>
    </w:rPr>
  </w:style>
  <w:style w:type="character" w:customStyle="1" w:styleId="23">
    <w:name w:val="标题 2 Char"/>
    <w:basedOn w:val="18"/>
    <w:link w:val="3"/>
    <w:qFormat/>
    <w:uiPriority w:val="0"/>
    <w:rPr>
      <w:rFonts w:ascii="宋体" w:hAnsi="宋体" w:eastAsia="宋体" w:cs="Times New Roman"/>
      <w:b/>
      <w:bCs/>
      <w:sz w:val="24"/>
      <w:szCs w:val="20"/>
      <w:lang w:val="zh-CN"/>
    </w:rPr>
  </w:style>
  <w:style w:type="character" w:customStyle="1" w:styleId="24">
    <w:name w:val="标题 3 Char"/>
    <w:basedOn w:val="18"/>
    <w:link w:val="4"/>
    <w:qFormat/>
    <w:uiPriority w:val="9"/>
    <w:rPr>
      <w:rFonts w:ascii="Calibri" w:hAnsi="Calibri" w:eastAsia="宋体" w:cs="Times New Roman"/>
      <w:b/>
      <w:bCs/>
      <w:sz w:val="32"/>
      <w:szCs w:val="32"/>
    </w:rPr>
  </w:style>
  <w:style w:type="character" w:customStyle="1" w:styleId="25">
    <w:name w:val="日期 Char"/>
    <w:basedOn w:val="18"/>
    <w:link w:val="9"/>
    <w:qFormat/>
    <w:uiPriority w:val="99"/>
  </w:style>
  <w:style w:type="character" w:customStyle="1" w:styleId="26">
    <w:name w:val="Plain Text Char1"/>
    <w:basedOn w:val="18"/>
    <w:semiHidden/>
    <w:qFormat/>
    <w:uiPriority w:val="99"/>
    <w:rPr>
      <w:rFonts w:ascii="宋体" w:hAnsi="Courier New" w:eastAsia="宋体" w:cs="Courier New"/>
      <w:szCs w:val="21"/>
    </w:rPr>
  </w:style>
  <w:style w:type="character" w:customStyle="1" w:styleId="27">
    <w:name w:val="批注文字 Char"/>
    <w:basedOn w:val="18"/>
    <w:link w:val="5"/>
    <w:qFormat/>
    <w:uiPriority w:val="99"/>
  </w:style>
  <w:style w:type="character" w:customStyle="1" w:styleId="28">
    <w:name w:val="称呼 Char"/>
    <w:basedOn w:val="18"/>
    <w:link w:val="6"/>
    <w:qFormat/>
    <w:uiPriority w:val="99"/>
    <w:rPr>
      <w:rFonts w:ascii="Times New Roman" w:hAnsi="Times New Roman"/>
      <w:sz w:val="32"/>
      <w:szCs w:val="32"/>
    </w:rPr>
  </w:style>
  <w:style w:type="character" w:customStyle="1" w:styleId="29">
    <w:name w:val="纯文本 Char"/>
    <w:link w:val="8"/>
    <w:qFormat/>
    <w:locked/>
    <w:uiPriority w:val="0"/>
    <w:rPr>
      <w:rFonts w:ascii="宋体" w:hAnsi="Courier New"/>
    </w:rPr>
  </w:style>
  <w:style w:type="character" w:customStyle="1" w:styleId="30">
    <w:name w:val="批注框文本 Char"/>
    <w:basedOn w:val="18"/>
    <w:link w:val="10"/>
    <w:qFormat/>
    <w:uiPriority w:val="99"/>
    <w:rPr>
      <w:sz w:val="16"/>
      <w:szCs w:val="16"/>
    </w:rPr>
  </w:style>
  <w:style w:type="character" w:customStyle="1" w:styleId="31">
    <w:name w:val="批注主题 Char"/>
    <w:basedOn w:val="27"/>
    <w:link w:val="15"/>
    <w:qFormat/>
    <w:uiPriority w:val="99"/>
    <w:rPr>
      <w:b/>
      <w:bCs/>
    </w:rPr>
  </w:style>
  <w:style w:type="character" w:customStyle="1" w:styleId="32">
    <w:name w:val="结束语 Char"/>
    <w:basedOn w:val="18"/>
    <w:link w:val="7"/>
    <w:qFormat/>
    <w:uiPriority w:val="99"/>
    <w:rPr>
      <w:rFonts w:ascii="Times New Roman" w:hAnsi="Times New Roman"/>
      <w:sz w:val="32"/>
      <w:szCs w:val="32"/>
    </w:rPr>
  </w:style>
  <w:style w:type="character" w:customStyle="1" w:styleId="33">
    <w:name w:val="样式 Char Char"/>
    <w:link w:val="34"/>
    <w:qFormat/>
    <w:uiPriority w:val="0"/>
    <w:rPr>
      <w:rFonts w:ascii="宋体" w:hAnsi="宋体"/>
      <w:sz w:val="24"/>
      <w:szCs w:val="24"/>
    </w:rPr>
  </w:style>
  <w:style w:type="paragraph" w:customStyle="1" w:styleId="34">
    <w:name w:val="样式"/>
    <w:link w:val="33"/>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5">
    <w:name w:val="称呼 Char1"/>
    <w:basedOn w:val="18"/>
    <w:link w:val="6"/>
    <w:semiHidden/>
    <w:qFormat/>
    <w:uiPriority w:val="99"/>
    <w:rPr>
      <w:rFonts w:ascii="Calibri" w:hAnsi="Calibri" w:eastAsia="宋体" w:cs="Times New Roman"/>
    </w:rPr>
  </w:style>
  <w:style w:type="character" w:customStyle="1" w:styleId="36">
    <w:name w:val="批注文字 Char1"/>
    <w:basedOn w:val="18"/>
    <w:link w:val="5"/>
    <w:semiHidden/>
    <w:qFormat/>
    <w:uiPriority w:val="99"/>
    <w:rPr>
      <w:rFonts w:ascii="Calibri" w:hAnsi="Calibri" w:eastAsia="宋体" w:cs="Times New Roman"/>
    </w:rPr>
  </w:style>
  <w:style w:type="character" w:customStyle="1" w:styleId="37">
    <w:name w:val="批注主题 Char1"/>
    <w:basedOn w:val="36"/>
    <w:link w:val="15"/>
    <w:semiHidden/>
    <w:qFormat/>
    <w:uiPriority w:val="99"/>
    <w:rPr>
      <w:b/>
      <w:bCs/>
    </w:rPr>
  </w:style>
  <w:style w:type="character" w:customStyle="1" w:styleId="38">
    <w:name w:val="纯文本 Char1"/>
    <w:basedOn w:val="18"/>
    <w:link w:val="8"/>
    <w:semiHidden/>
    <w:qFormat/>
    <w:uiPriority w:val="99"/>
    <w:rPr>
      <w:rFonts w:ascii="宋体" w:hAnsi="Courier New" w:eastAsia="宋体" w:cs="Courier New"/>
      <w:szCs w:val="21"/>
    </w:rPr>
  </w:style>
  <w:style w:type="character" w:customStyle="1" w:styleId="39">
    <w:name w:val="日期 Char1"/>
    <w:basedOn w:val="18"/>
    <w:link w:val="9"/>
    <w:semiHidden/>
    <w:qFormat/>
    <w:uiPriority w:val="99"/>
    <w:rPr>
      <w:rFonts w:ascii="Calibri" w:hAnsi="Calibri" w:eastAsia="宋体" w:cs="Times New Roman"/>
    </w:rPr>
  </w:style>
  <w:style w:type="character" w:customStyle="1" w:styleId="40">
    <w:name w:val="结束语 Char1"/>
    <w:basedOn w:val="18"/>
    <w:link w:val="7"/>
    <w:semiHidden/>
    <w:qFormat/>
    <w:uiPriority w:val="99"/>
    <w:rPr>
      <w:rFonts w:ascii="Calibri" w:hAnsi="Calibri" w:eastAsia="宋体" w:cs="Times New Roman"/>
    </w:rPr>
  </w:style>
  <w:style w:type="character" w:customStyle="1" w:styleId="41">
    <w:name w:val="批注框文本 Char1"/>
    <w:basedOn w:val="18"/>
    <w:link w:val="10"/>
    <w:semiHidden/>
    <w:qFormat/>
    <w:uiPriority w:val="99"/>
    <w:rPr>
      <w:rFonts w:ascii="Calibri" w:hAnsi="Calibri" w:eastAsia="宋体" w:cs="Times New Roman"/>
      <w:sz w:val="18"/>
      <w:szCs w:val="18"/>
    </w:rPr>
  </w:style>
  <w:style w:type="character" w:customStyle="1" w:styleId="42">
    <w:name w:val="页眉 Char1"/>
    <w:basedOn w:val="18"/>
    <w:semiHidden/>
    <w:qFormat/>
    <w:uiPriority w:val="99"/>
    <w:rPr>
      <w:kern w:val="2"/>
      <w:sz w:val="18"/>
      <w:szCs w:val="18"/>
    </w:rPr>
  </w:style>
  <w:style w:type="character" w:customStyle="1" w:styleId="43">
    <w:name w:val="页脚 Char1"/>
    <w:basedOn w:val="18"/>
    <w:semiHidden/>
    <w:qFormat/>
    <w:uiPriority w:val="99"/>
    <w:rPr>
      <w:kern w:val="2"/>
      <w:sz w:val="18"/>
      <w:szCs w:val="18"/>
    </w:rPr>
  </w:style>
  <w:style w:type="paragraph" w:styleId="44">
    <w:name w:val="List Paragraph"/>
    <w:basedOn w:val="1"/>
    <w:qFormat/>
    <w:uiPriority w:val="34"/>
    <w:pPr>
      <w:ind w:firstLine="420" w:firstLineChars="200"/>
    </w:pPr>
  </w:style>
  <w:style w:type="paragraph" w:customStyle="1" w:styleId="45">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6">
    <w:name w:val="CM3"/>
    <w:basedOn w:val="47"/>
    <w:next w:val="47"/>
    <w:qFormat/>
    <w:uiPriority w:val="99"/>
    <w:rPr>
      <w:rFonts w:cs="Times New Roman"/>
      <w:color w:val="auto"/>
    </w:rPr>
  </w:style>
  <w:style w:type="paragraph" w:customStyle="1" w:styleId="47">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8">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49">
    <w:name w:val="CM27"/>
    <w:basedOn w:val="47"/>
    <w:next w:val="47"/>
    <w:qFormat/>
    <w:uiPriority w:val="99"/>
    <w:rPr>
      <w:rFonts w:cs="Times New Roman"/>
      <w:color w:val="auto"/>
    </w:rPr>
  </w:style>
  <w:style w:type="paragraph" w:customStyle="1" w:styleId="50">
    <w:name w:val="修订1"/>
    <w:unhideWhenUsed/>
    <w:qFormat/>
    <w:uiPriority w:val="99"/>
    <w:rPr>
      <w:rFonts w:ascii="Calibri" w:hAnsi="Calibri" w:eastAsia="宋体" w:cs="Times New Roman"/>
      <w:kern w:val="2"/>
      <w:sz w:val="21"/>
      <w:szCs w:val="22"/>
      <w:lang w:val="en-US" w:eastAsia="zh-CN" w:bidi="ar-SA"/>
    </w:rPr>
  </w:style>
  <w:style w:type="paragraph" w:customStyle="1" w:styleId="51">
    <w:name w:val="CM30"/>
    <w:basedOn w:val="47"/>
    <w:next w:val="47"/>
    <w:qFormat/>
    <w:uiPriority w:val="99"/>
    <w:rPr>
      <w:rFonts w:cs="Times New Roman"/>
      <w:color w:val="auto"/>
    </w:rPr>
  </w:style>
  <w:style w:type="paragraph" w:customStyle="1" w:styleId="52">
    <w:name w:val="Table Paragraph"/>
    <w:basedOn w:val="1"/>
    <w:qFormat/>
    <w:uiPriority w:val="1"/>
    <w:rPr>
      <w:rFonts w:asciiTheme="minorHAnsi" w:hAnsiTheme="minorHAnsi" w:eastAsiaTheme="minorEastAsia" w:cstheme="minorBidi"/>
    </w:rPr>
  </w:style>
  <w:style w:type="paragraph" w:customStyle="1" w:styleId="53">
    <w:name w:val="BodyText"/>
    <w:basedOn w:val="1"/>
    <w:qFormat/>
    <w:uiPriority w:val="0"/>
    <w:pPr>
      <w:spacing w:after="120"/>
    </w:pPr>
  </w:style>
  <w:style w:type="character" w:customStyle="1" w:styleId="54">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0</TotalTime>
  <ScaleCrop>false</ScaleCrop>
  <LinksUpToDate>false</LinksUpToDate>
  <CharactersWithSpaces>7229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美喵喵</cp:lastModifiedBy>
  <cp:lastPrinted>2021-04-15T10:08:47Z</cp:lastPrinted>
  <dcterms:modified xsi:type="dcterms:W3CDTF">2021-04-15T10:40:51Z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