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2"/>
          <w:lang w:val="en-US" w:eastAsia="zh-CN" w:bidi="ar"/>
        </w:rPr>
        <w:t>评分办法</w:t>
      </w:r>
    </w:p>
    <w:tbl>
      <w:tblPr>
        <w:tblStyle w:val="2"/>
        <w:tblW w:w="4961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5624"/>
        <w:gridCol w:w="120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内容</w:t>
            </w: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具体内容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分值构成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公司资质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）</w:t>
            </w: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营业执照经营范围包括人力资源管理咨询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sz w:val="32"/>
                <w:szCs w:val="32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企业注册资金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sz w:val="32"/>
                <w:szCs w:val="32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财务状况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人力资源许可证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sz w:val="32"/>
                <w:szCs w:val="32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商业信用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sz w:val="32"/>
                <w:szCs w:val="32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过往业绩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8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报价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（30分）</w:t>
            </w: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公司报价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三、输出成果（20分）</w:t>
            </w: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1.薪酬管理办法（包括集团公司与子公司）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2.绩效管理办法（包括集团公司与子公司）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3.岗位说明书（包括集团公司与子公司各部门）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4.后续辅导期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、其他与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人力资源管理体系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相关的输出成果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8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、业务人员（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分）</w:t>
            </w: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1.该项目的主要负责人从事人力资源咨询工作年限不低于10年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2.团队成员具有从事人力资源咨询工作相关证书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2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</w:pPr>
    </w:p>
    <w:bookmarkEnd w:id="0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15B838"/>
    <w:multiLevelType w:val="singleLevel"/>
    <w:tmpl w:val="BB15B8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B6785"/>
    <w:rsid w:val="164B6785"/>
    <w:rsid w:val="329061B3"/>
    <w:rsid w:val="7B151CCE"/>
    <w:rsid w:val="7BCD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2021-05-11T07:00:00Z</dcterms:created>
  <dc:creator>羊咩咩</dc:creator>
  <cp:lastModifiedBy>投资公司</cp:lastModifiedBy>
  <cp:lastPrinted>2021-05-11T07:29:00Z</cp:lastPrinted>
  <dcterms:modified xsi:type="dcterms:W3CDTF">2021-05-13T00:47:55Z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4FD32640F97D49CF978AAA4C663B3D4E</vt:lpwstr>
  </property>
</Properties>
</file>