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lang w:val="en-US" w:eastAsia="zh-CN"/>
        </w:rPr>
      </w:pPr>
      <w:r>
        <w:rPr>
          <w:rFonts w:hint="eastAsia" w:ascii="仿宋" w:hAnsi="仿宋" w:eastAsia="仿宋" w:cs="仿宋"/>
          <w:b/>
          <w:bCs w:val="0"/>
          <w:color w:val="05060A"/>
          <w:kern w:val="0"/>
          <w:sz w:val="36"/>
          <w:szCs w:val="36"/>
        </w:rPr>
        <w:t>许</w:t>
      </w:r>
      <w:r>
        <w:rPr>
          <w:rFonts w:hint="eastAsia" w:ascii="仿宋" w:hAnsi="仿宋" w:eastAsia="仿宋" w:cs="仿宋"/>
          <w:b/>
          <w:bCs w:val="0"/>
          <w:color w:val="05060A"/>
          <w:kern w:val="0"/>
          <w:sz w:val="36"/>
          <w:szCs w:val="36"/>
          <w:lang w:val="en-US" w:eastAsia="zh-CN"/>
        </w:rPr>
        <w:t>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bookmarkStart w:id="0" w:name="_GoBack"/>
      <w:r>
        <w:rPr>
          <w:rFonts w:hint="eastAsia" w:ascii="仿宋" w:hAnsi="仿宋" w:eastAsia="仿宋" w:cs="仿宋"/>
          <w:b/>
          <w:bCs w:val="0"/>
          <w:color w:val="05060A"/>
          <w:kern w:val="0"/>
          <w:sz w:val="36"/>
          <w:szCs w:val="36"/>
          <w:lang w:val="en-US" w:eastAsia="zh-CN"/>
        </w:rPr>
        <w:t>2021年证券交易所创新创业公司债券</w:t>
      </w:r>
      <w:r>
        <w:rPr>
          <w:rFonts w:hint="eastAsia" w:ascii="仿宋" w:hAnsi="仿宋" w:eastAsia="仿宋" w:cs="仿宋"/>
          <w:b/>
          <w:bCs w:val="0"/>
          <w:color w:val="05060A"/>
          <w:kern w:val="0"/>
          <w:sz w:val="36"/>
          <w:szCs w:val="36"/>
        </w:rPr>
        <w:t>发行</w:t>
      </w:r>
    </w:p>
    <w:bookmarkEnd w:id="0"/>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2021年证券交易所创新创业公司债券发行已由相关部门批准实施，具备招标条件。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sz w:val="30"/>
          <w:szCs w:val="30"/>
        </w:rPr>
        <w:t>证券交易所（以下简称</w:t>
      </w:r>
      <w:r>
        <w:rPr>
          <w:rFonts w:hint="eastAsia" w:ascii="仿宋" w:hAnsi="仿宋" w:eastAsia="仿宋"/>
          <w:sz w:val="30"/>
          <w:szCs w:val="30"/>
          <w:lang w:eastAsia="zh-CN"/>
        </w:rPr>
        <w:t>“</w:t>
      </w:r>
      <w:r>
        <w:rPr>
          <w:rFonts w:hint="eastAsia" w:ascii="仿宋" w:hAnsi="仿宋" w:eastAsia="仿宋"/>
          <w:sz w:val="30"/>
          <w:szCs w:val="30"/>
        </w:rPr>
        <w:t>交易所</w:t>
      </w:r>
      <w:r>
        <w:rPr>
          <w:rFonts w:hint="eastAsia" w:ascii="仿宋" w:hAnsi="仿宋" w:eastAsia="仿宋"/>
          <w:sz w:val="30"/>
          <w:szCs w:val="30"/>
          <w:lang w:eastAsia="zh-CN"/>
        </w:rPr>
        <w:t>”</w:t>
      </w:r>
      <w:r>
        <w:rPr>
          <w:rFonts w:hint="eastAsia" w:ascii="仿宋" w:hAnsi="仿宋" w:eastAsia="仿宋"/>
          <w:sz w:val="30"/>
          <w:szCs w:val="30"/>
        </w:rPr>
        <w:t>）申请发行不超过</w:t>
      </w:r>
      <w:r>
        <w:rPr>
          <w:rFonts w:hint="eastAsia" w:ascii="仿宋" w:hAnsi="仿宋" w:eastAsia="仿宋"/>
          <w:color w:val="000000" w:themeColor="text1"/>
          <w:sz w:val="30"/>
          <w:szCs w:val="30"/>
          <w:lang w:val="en-US" w:eastAsia="zh-CN"/>
          <w14:textFill>
            <w14:solidFill>
              <w14:schemeClr w14:val="tx1"/>
            </w14:solidFill>
          </w14:textFill>
        </w:rPr>
        <w:t>20</w:t>
      </w:r>
      <w:r>
        <w:rPr>
          <w:rFonts w:hint="eastAsia" w:ascii="仿宋" w:hAnsi="仿宋" w:eastAsia="仿宋"/>
          <w:color w:val="000000" w:themeColor="text1"/>
          <w:sz w:val="30"/>
          <w:szCs w:val="30"/>
          <w14:textFill>
            <w14:solidFill>
              <w14:schemeClr w14:val="tx1"/>
            </w14:solidFill>
          </w14:textFill>
        </w:rPr>
        <w:t>亿元</w:t>
      </w:r>
      <w:r>
        <w:rPr>
          <w:rFonts w:hint="eastAsia" w:ascii="仿宋" w:hAnsi="仿宋" w:eastAsia="仿宋" w:cs="仿宋"/>
          <w:b w:val="0"/>
          <w:bCs w:val="0"/>
          <w:sz w:val="30"/>
          <w:szCs w:val="30"/>
          <w:lang w:val="en-US" w:eastAsia="zh-CN"/>
        </w:rPr>
        <w:t>创新创业公司债券</w:t>
      </w:r>
      <w:r>
        <w:rPr>
          <w:rFonts w:hint="eastAsia" w:ascii="仿宋" w:hAnsi="仿宋" w:eastAsia="仿宋"/>
          <w:sz w:val="30"/>
          <w:szCs w:val="30"/>
          <w:lang w:eastAsia="zh-CN"/>
        </w:rPr>
        <w:t>（以下简称“双创公司债”）</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双创公司债</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b w:val="0"/>
          <w:bCs w:val="0"/>
          <w:sz w:val="30"/>
          <w:szCs w:val="30"/>
          <w:lang w:val="en-US" w:eastAsia="zh-CN"/>
        </w:rPr>
        <w:t>创新创业公司债券</w:t>
      </w:r>
      <w:r>
        <w:rPr>
          <w:rFonts w:hint="eastAsia" w:ascii="仿宋" w:hAnsi="仿宋" w:eastAsia="仿宋" w:cs="仿宋_GB2312"/>
          <w:kern w:val="0"/>
          <w:sz w:val="30"/>
          <w:szCs w:val="30"/>
        </w:rPr>
        <w:t>发行主承销商项目。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w:t>
      </w:r>
      <w:r>
        <w:rPr>
          <w:rFonts w:hint="eastAsia" w:ascii="仿宋" w:hAnsi="仿宋" w:eastAsia="仿宋" w:cs="仿宋"/>
          <w:color w:val="16181D"/>
          <w:kern w:val="0"/>
          <w:sz w:val="30"/>
          <w:szCs w:val="30"/>
          <w:lang w:eastAsia="zh-CN"/>
        </w:rPr>
        <w:t>双创公司债</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20</w:t>
      </w:r>
      <w:r>
        <w:rPr>
          <w:rFonts w:hint="eastAsia" w:ascii="仿宋" w:hAnsi="仿宋" w:eastAsia="仿宋"/>
          <w:kern w:val="0"/>
          <w:sz w:val="32"/>
          <w:szCs w:val="32"/>
        </w:rPr>
        <w:t>亿元</w:t>
      </w:r>
      <w:r>
        <w:rPr>
          <w:rFonts w:hint="eastAsia" w:ascii="仿宋" w:hAnsi="仿宋" w:eastAsia="仿宋"/>
          <w:kern w:val="0"/>
          <w:sz w:val="32"/>
          <w:szCs w:val="32"/>
          <w:lang w:eastAsia="zh-CN"/>
        </w:rPr>
        <w:t>（含</w:t>
      </w:r>
      <w:r>
        <w:rPr>
          <w:rFonts w:hint="eastAsia" w:ascii="仿宋" w:hAnsi="仿宋" w:eastAsia="仿宋"/>
          <w:kern w:val="0"/>
          <w:sz w:val="32"/>
          <w:szCs w:val="32"/>
          <w:lang w:val="en-US" w:eastAsia="zh-CN"/>
        </w:rPr>
        <w:t>20亿元）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eastAsia"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10年（含10年）</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eastAsia="zh-CN"/>
        </w:rPr>
        <w:t>双创公司债</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双创公司债</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w:t>
      </w:r>
      <w:r>
        <w:rPr>
          <w:rFonts w:hint="eastAsia" w:ascii="仿宋" w:hAnsi="仿宋" w:eastAsia="仿宋" w:cs="仿宋_GB2312"/>
          <w:kern w:val="0"/>
          <w:sz w:val="30"/>
          <w:szCs w:val="30"/>
        </w:rPr>
        <w:t>额包销。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6月</w:t>
      </w:r>
      <w:r>
        <w:rPr>
          <w:rFonts w:hint="eastAsia" w:ascii="仿宋" w:hAnsi="仿宋" w:eastAsia="仿宋" w:cs="楷体_GB2312"/>
          <w:b w:val="0"/>
          <w:bCs w:val="0"/>
          <w:color w:val="000000"/>
          <w:sz w:val="30"/>
          <w:szCs w:val="30"/>
          <w:shd w:val="clear" w:color="auto" w:fill="FFFFFF"/>
          <w:lang w:val="en-US" w:eastAsia="zh-CN"/>
        </w:rPr>
        <w:t>底前</w:t>
      </w:r>
      <w:r>
        <w:rPr>
          <w:rFonts w:hint="eastAsia" w:ascii="仿宋" w:hAnsi="仿宋" w:eastAsia="仿宋" w:cs="仿宋_GB2312"/>
          <w:color w:val="000000" w:themeColor="text1"/>
          <w:kern w:val="0"/>
          <w:sz w:val="30"/>
          <w:szCs w:val="30"/>
          <w:lang w:val="en-US" w:eastAsia="zh-CN"/>
          <w14:textFill>
            <w14:solidFill>
              <w14:schemeClr w14:val="tx1"/>
            </w14:solidFill>
          </w14:textFill>
        </w:rPr>
        <w:t>拿到注册批文。（2）主承销商确定后，在接到发行人发行通知后1个月内完成当期资金募集。</w:t>
      </w:r>
    </w:p>
    <w:p>
      <w:pPr>
        <w:pStyle w:val="9"/>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w:t>
      </w:r>
    </w:p>
    <w:p>
      <w:pPr>
        <w:keepNext w:val="0"/>
        <w:keepLines w:val="0"/>
        <w:pageBreakBefore w:val="0"/>
        <w:widowControl w:val="0"/>
        <w:kinsoku/>
        <w:wordWrap/>
        <w:overflowPunct/>
        <w:topLinePunct w:val="0"/>
        <w:bidi w:val="0"/>
        <w:spacing w:line="360" w:lineRule="auto"/>
        <w:ind w:firstLine="600" w:firstLineChars="200"/>
        <w:textAlignment w:val="auto"/>
        <w:rPr>
          <w:rFonts w:hint="eastAsia" w:ascii="仿宋" w:hAnsi="仿宋" w:eastAsia="仿宋" w:cs="仿宋"/>
          <w:sz w:val="30"/>
          <w:szCs w:val="30"/>
          <w:lang w:eastAsia="zh-CN"/>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sz w:val="30"/>
          <w:szCs w:val="30"/>
          <w:lang w:eastAsia="zh-CN"/>
        </w:rPr>
        <w:t>承销费用</w:t>
      </w:r>
      <w:r>
        <w:rPr>
          <w:rFonts w:hint="eastAsia" w:ascii="仿宋" w:hAnsi="仿宋" w:eastAsia="仿宋" w:cs="仿宋"/>
          <w:color w:val="000000"/>
          <w:sz w:val="30"/>
          <w:szCs w:val="30"/>
        </w:rPr>
        <w:t>由固定</w:t>
      </w:r>
      <w:r>
        <w:rPr>
          <w:rFonts w:hint="eastAsia" w:ascii="仿宋" w:hAnsi="仿宋" w:eastAsia="仿宋" w:cs="仿宋"/>
          <w:color w:val="000000"/>
          <w:sz w:val="30"/>
          <w:szCs w:val="30"/>
          <w:lang w:eastAsia="zh-CN"/>
        </w:rPr>
        <w:t>承销费用</w:t>
      </w:r>
      <w:r>
        <w:rPr>
          <w:rFonts w:hint="eastAsia" w:ascii="仿宋" w:hAnsi="仿宋" w:eastAsia="仿宋" w:cs="仿宋"/>
          <w:color w:val="000000"/>
          <w:sz w:val="30"/>
          <w:szCs w:val="30"/>
        </w:rPr>
        <w:t>和</w:t>
      </w:r>
      <w:r>
        <w:rPr>
          <w:rFonts w:hint="eastAsia" w:ascii="仿宋" w:hAnsi="仿宋" w:eastAsia="仿宋" w:cs="仿宋"/>
          <w:color w:val="000000"/>
          <w:sz w:val="30"/>
          <w:szCs w:val="30"/>
          <w:lang w:eastAsia="zh-CN"/>
        </w:rPr>
        <w:t>激励奖罚费用</w:t>
      </w:r>
      <w:r>
        <w:rPr>
          <w:rFonts w:hint="eastAsia" w:ascii="仿宋" w:hAnsi="仿宋" w:eastAsia="仿宋" w:cs="仿宋"/>
          <w:color w:val="000000"/>
          <w:sz w:val="30"/>
          <w:szCs w:val="30"/>
        </w:rPr>
        <w:t>组成</w:t>
      </w:r>
      <w:r>
        <w:rPr>
          <w:rFonts w:hint="eastAsia" w:ascii="仿宋" w:hAnsi="仿宋" w:eastAsia="仿宋" w:cs="仿宋"/>
          <w:color w:val="000000"/>
          <w:sz w:val="30"/>
          <w:szCs w:val="30"/>
          <w:lang w:eastAsia="zh-CN"/>
        </w:rPr>
        <w:t>。即承销费用</w:t>
      </w:r>
      <w:r>
        <w:rPr>
          <w:rFonts w:hint="eastAsia" w:ascii="仿宋" w:hAnsi="仿宋" w:eastAsia="仿宋" w:cs="仿宋"/>
          <w:color w:val="000000"/>
          <w:sz w:val="30"/>
          <w:szCs w:val="30"/>
          <w:lang w:val="en-US" w:eastAsia="zh-CN"/>
        </w:rPr>
        <w:t>=固定承销费用±激励奖惩费用。</w:t>
      </w:r>
    </w:p>
    <w:p>
      <w:pPr>
        <w:keepNext w:val="0"/>
        <w:keepLines w:val="0"/>
        <w:pageBreakBefore w:val="0"/>
        <w:widowControl w:val="0"/>
        <w:kinsoku/>
        <w:wordWrap/>
        <w:overflowPunct/>
        <w:topLinePunct w:val="0"/>
        <w:bidi w:val="0"/>
        <w:spacing w:line="360" w:lineRule="auto"/>
        <w:ind w:firstLine="600" w:firstLineChars="200"/>
        <w:textAlignment w:val="auto"/>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固定</w:t>
      </w:r>
      <w:r>
        <w:rPr>
          <w:rFonts w:hint="eastAsia" w:ascii="仿宋" w:hAnsi="仿宋" w:eastAsia="仿宋" w:cs="仿宋"/>
          <w:color w:val="000000"/>
          <w:sz w:val="30"/>
          <w:szCs w:val="30"/>
          <w:lang w:eastAsia="zh-CN"/>
        </w:rPr>
        <w:t>承销费用：以投标人中标价为准。</w:t>
      </w:r>
    </w:p>
    <w:p>
      <w:p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sz w:val="30"/>
          <w:szCs w:val="30"/>
          <w:lang w:eastAsia="zh-CN"/>
        </w:rPr>
        <w:t>奖罚费用：</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实际发行利率低于市场平均发行利率，按照</w:t>
      </w:r>
      <w:r>
        <w:rPr>
          <w:rFonts w:hint="eastAsia" w:ascii="仿宋" w:hAnsi="仿宋" w:eastAsia="仿宋" w:cs="仿宋"/>
          <w:sz w:val="30"/>
          <w:szCs w:val="30"/>
          <w:lang w:val="en-US" w:eastAsia="zh-CN"/>
        </w:rPr>
        <w:t>发行</w:t>
      </w:r>
      <w:r>
        <w:rPr>
          <w:rFonts w:hint="eastAsia" w:ascii="仿宋" w:hAnsi="仿宋" w:eastAsia="仿宋" w:cs="仿宋"/>
          <w:sz w:val="30"/>
          <w:szCs w:val="30"/>
        </w:rPr>
        <w:t>利率低于市场平均利率</w:t>
      </w:r>
      <w:r>
        <w:rPr>
          <w:rFonts w:hint="eastAsia" w:ascii="仿宋" w:hAnsi="仿宋" w:eastAsia="仿宋" w:cs="仿宋"/>
          <w:sz w:val="30"/>
          <w:szCs w:val="30"/>
          <w:lang w:val="en-US" w:eastAsia="zh-CN"/>
        </w:rPr>
        <w:t>节省</w:t>
      </w:r>
      <w:r>
        <w:rPr>
          <w:rFonts w:hint="eastAsia" w:ascii="仿宋" w:hAnsi="仿宋" w:eastAsia="仿宋" w:cs="仿宋"/>
          <w:sz w:val="30"/>
          <w:szCs w:val="30"/>
        </w:rPr>
        <w:t>的成本金额的百分之</w:t>
      </w:r>
      <w:r>
        <w:rPr>
          <w:rFonts w:hint="eastAsia" w:ascii="仿宋" w:hAnsi="仿宋" w:eastAsia="仿宋" w:cs="仿宋"/>
          <w:sz w:val="30"/>
          <w:szCs w:val="30"/>
          <w:lang w:eastAsia="zh-CN"/>
        </w:rPr>
        <w:t>十在固定承销费用基础上予以奖励；若实际发行利率高于市场平均发行利率，按照发行利率高出市场平均利率增加的成本金额的百分之十</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）具有</w:t>
      </w:r>
      <w:r>
        <w:rPr>
          <w:rFonts w:hint="eastAsia" w:ascii="仿宋" w:hAnsi="仿宋" w:eastAsia="仿宋" w:cs="仿宋_GB2312"/>
          <w:color w:val="000000" w:themeColor="text1"/>
          <w:kern w:val="0"/>
          <w:sz w:val="30"/>
          <w:szCs w:val="30"/>
          <w:lang w:eastAsia="zh-CN"/>
          <w14:textFill>
            <w14:solidFill>
              <w14:schemeClr w14:val="tx1"/>
            </w14:solidFill>
          </w14:textFill>
        </w:rPr>
        <w:t>公司债承销资格的证券公司</w:t>
      </w:r>
      <w:r>
        <w:rPr>
          <w:rFonts w:hint="eastAsia" w:ascii="仿宋" w:hAnsi="仿宋" w:eastAsia="仿宋" w:cs="仿宋_GB2312"/>
          <w:color w:val="000000" w:themeColor="text1"/>
          <w:kern w:val="0"/>
          <w:sz w:val="30"/>
          <w:szCs w:val="30"/>
          <w14:textFill>
            <w14:solidFill>
              <w14:schemeClr w14:val="tx1"/>
            </w14:solidFill>
          </w14:textFill>
        </w:rPr>
        <w:t>，熟悉</w:t>
      </w:r>
      <w:r>
        <w:rPr>
          <w:rFonts w:hint="eastAsia" w:ascii="仿宋" w:hAnsi="仿宋" w:eastAsia="仿宋" w:cs="仿宋_GB2312"/>
          <w:color w:val="000000" w:themeColor="text1"/>
          <w:kern w:val="0"/>
          <w:sz w:val="30"/>
          <w:szCs w:val="30"/>
          <w:lang w:eastAsia="zh-CN"/>
          <w14:textFill>
            <w14:solidFill>
              <w14:schemeClr w14:val="tx1"/>
            </w14:solidFill>
          </w14:textFill>
        </w:rPr>
        <w:t>双创公司债</w:t>
      </w:r>
      <w:r>
        <w:rPr>
          <w:rFonts w:hint="eastAsia" w:ascii="仿宋" w:hAnsi="仿宋" w:eastAsia="仿宋" w:cs="仿宋_GB2312"/>
          <w:color w:val="000000" w:themeColor="text1"/>
          <w:kern w:val="0"/>
          <w:sz w:val="30"/>
          <w:szCs w:val="30"/>
          <w14:textFill>
            <w14:solidFill>
              <w14:schemeClr w14:val="tx1"/>
            </w14:solidFill>
          </w14:textFill>
        </w:rPr>
        <w:t>发行程序</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5</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28</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6</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6</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7</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0374-2676561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5</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28</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2021年创新创业公司债券发行工作已由相关部门批准实施，具备招标条件，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双创公司债</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双创公司债</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13151A"/>
          <w:kern w:val="0"/>
          <w:sz w:val="30"/>
          <w:szCs w:val="30"/>
          <w:lang w:eastAsia="zh-CN"/>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9"/>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3151A"/>
          <w:kern w:val="0"/>
          <w:sz w:val="30"/>
          <w:szCs w:val="30"/>
        </w:rPr>
        <w:t>(</w:t>
      </w:r>
      <w:r>
        <w:rPr>
          <w:rFonts w:hint="eastAsia" w:ascii="仿宋" w:hAnsi="仿宋" w:eastAsia="仿宋" w:cs="仿宋_GB2312"/>
          <w:color w:val="13151A"/>
          <w:kern w:val="0"/>
          <w:sz w:val="30"/>
          <w:szCs w:val="30"/>
          <w:lang w:eastAsia="zh-CN"/>
        </w:rPr>
        <w:t>四</w:t>
      </w:r>
      <w:r>
        <w:rPr>
          <w:rFonts w:hint="eastAsia" w:ascii="仿宋" w:hAnsi="仿宋" w:eastAsia="仿宋" w:cs="仿宋_GB2312"/>
          <w:color w:val="13151A"/>
          <w:kern w:val="0"/>
          <w:sz w:val="30"/>
          <w:szCs w:val="30"/>
        </w:rPr>
        <w:t>)</w:t>
      </w:r>
      <w:r>
        <w:rPr>
          <w:rFonts w:hint="eastAsia" w:ascii="仿宋" w:hAnsi="仿宋" w:eastAsia="仿宋" w:cs="仿宋"/>
          <w:sz w:val="30"/>
          <w:szCs w:val="30"/>
          <w:lang w:val="en-US" w:eastAsia="zh-CN"/>
        </w:rPr>
        <w:t>承销费奖惩政策随市场行情的变化调整，最终解释权归招标人。</w:t>
      </w:r>
    </w:p>
    <w:p>
      <w:pPr>
        <w:pStyle w:val="23"/>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w:t>
      </w:r>
      <w:r>
        <w:rPr>
          <w:rFonts w:hint="eastAsia" w:ascii="仿宋" w:hAnsi="仿宋" w:eastAsia="仿宋" w:cs="仿宋_GB2312"/>
          <w:color w:val="15171C"/>
          <w:kern w:val="0"/>
          <w:sz w:val="30"/>
          <w:szCs w:val="30"/>
          <w:lang w:eastAsia="zh-CN"/>
        </w:rPr>
        <w:t>后</w:t>
      </w:r>
      <w:r>
        <w:rPr>
          <w:rFonts w:hint="eastAsia" w:ascii="仿宋" w:hAnsi="仿宋" w:eastAsia="仿宋" w:cs="仿宋_GB2312"/>
          <w:color w:val="15171C"/>
          <w:kern w:val="0"/>
          <w:sz w:val="30"/>
          <w:szCs w:val="30"/>
        </w:rPr>
        <w:t>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3"/>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pStyle w:val="48"/>
        <w:pageBreakBefore/>
        <w:spacing w:line="360" w:lineRule="auto"/>
        <w:ind w:right="-210" w:rightChars="-100"/>
        <w:jc w:val="center"/>
      </w:pPr>
      <w:r>
        <w:rPr>
          <w:rFonts w:hint="eastAsia" w:ascii="Times New Roman" w:hAnsi="Times New Roman" w:eastAsia="宋体"/>
          <w:b/>
          <w:color w:val="020304"/>
          <w:sz w:val="44"/>
          <w:szCs w:val="44"/>
        </w:rPr>
        <w:t>详细评审表</w:t>
      </w:r>
    </w:p>
    <w:p/>
    <w:tbl>
      <w:tblPr>
        <w:tblStyle w:val="18"/>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type="textWrapping"/>
            </w:r>
            <w:r>
              <w:rPr>
                <w:rFonts w:ascii="Times New Roman" w:hAnsi="Times New Roman"/>
                <w:color w:val="000000"/>
                <w:kern w:val="0"/>
                <w:szCs w:val="21"/>
              </w:rPr>
              <w:t>（总分100分）</w:t>
            </w:r>
          </w:p>
        </w:tc>
        <w:tc>
          <w:tcPr>
            <w:tcW w:w="7044" w:type="dxa"/>
            <w:gridSpan w:val="2"/>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p>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hint="eastAsia" w:ascii="Times New Roman" w:hAnsi="Times New Roman"/>
                <w:color w:val="000000"/>
                <w:kern w:val="0"/>
                <w:szCs w:val="21"/>
                <w:lang w:val="en-US" w:eastAsia="zh-CN"/>
              </w:rPr>
              <w:t>40</w:t>
            </w:r>
            <w:r>
              <w:rPr>
                <w:rFonts w:ascii="Times New Roman" w:hAnsi="Times New Roman"/>
                <w:color w:val="000000"/>
                <w:kern w:val="0"/>
                <w:szCs w:val="21"/>
              </w:rPr>
              <w:t>分</w:t>
            </w:r>
          </w:p>
          <w:p>
            <w:pPr>
              <w:jc w:val="center"/>
              <w:rPr>
                <w:rFonts w:ascii="Times New Roman" w:hAnsi="Times New Roman"/>
                <w:color w:val="000000"/>
                <w:kern w:val="0"/>
                <w:szCs w:val="21"/>
              </w:rPr>
            </w:pPr>
            <w:r>
              <w:rPr>
                <w:rFonts w:ascii="Times New Roman" w:hAnsi="Times New Roman"/>
                <w:color w:val="000000"/>
                <w:kern w:val="0"/>
                <w:szCs w:val="21"/>
              </w:rPr>
              <w:t>商务部分：</w:t>
            </w:r>
            <w:r>
              <w:rPr>
                <w:rFonts w:hint="eastAsia" w:ascii="Times New Roman" w:hAnsi="Times New Roman"/>
                <w:color w:val="000000"/>
                <w:kern w:val="0"/>
                <w:szCs w:val="21"/>
                <w:lang w:val="en-US" w:eastAsia="zh-CN"/>
              </w:rPr>
              <w:t>50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（1） 价格部分（满分</w:t>
            </w:r>
            <w:r>
              <w:rPr>
                <w:rFonts w:hint="eastAsia" w:ascii="Times New Roman" w:hAnsi="Times New Roman"/>
                <w:b/>
                <w:bCs/>
                <w:color w:val="000000"/>
                <w:kern w:val="0"/>
                <w:szCs w:val="21"/>
                <w:lang w:val="en-US" w:eastAsia="zh-CN"/>
              </w:rPr>
              <w:t>10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noWrap/>
            <w:vAlign w:val="center"/>
          </w:tcPr>
          <w:p>
            <w:pPr>
              <w:widowControl/>
              <w:spacing w:line="360" w:lineRule="atLeast"/>
              <w:jc w:val="center"/>
              <w:rPr>
                <w:rFonts w:ascii="Times New Roman" w:hAnsi="Times New Roman"/>
                <w:color w:val="000000"/>
                <w:kern w:val="0"/>
                <w:szCs w:val="21"/>
              </w:rPr>
            </w:pPr>
            <w:r>
              <w:rPr>
                <w:rFonts w:hint="eastAsia" w:ascii="Times New Roman" w:hAnsi="Times New Roman"/>
                <w:color w:val="000000"/>
                <w:kern w:val="0"/>
                <w:szCs w:val="21"/>
              </w:rPr>
              <w:t>价格部分</w:t>
            </w:r>
          </w:p>
        </w:tc>
        <w:tc>
          <w:tcPr>
            <w:tcW w:w="5954" w:type="dxa"/>
            <w:tcBorders>
              <w:tl2br w:val="nil"/>
              <w:tr2bl w:val="nil"/>
            </w:tcBorders>
            <w:noWrap w:val="0"/>
            <w:vAlign w:val="center"/>
          </w:tcPr>
          <w:p>
            <w:pPr>
              <w:pStyle w:val="9"/>
              <w:rPr>
                <w:rFonts w:hint="eastAsia"/>
                <w:lang w:val="en-US" w:eastAsia="zh-CN"/>
              </w:rPr>
            </w:pPr>
            <w:r>
              <w:rPr>
                <w:rFonts w:hint="eastAsia"/>
                <w:lang w:eastAsia="zh-CN"/>
              </w:rPr>
              <w:t>该报价为上文</w:t>
            </w:r>
            <w:r>
              <w:rPr>
                <w:rFonts w:hint="eastAsia"/>
                <w:lang w:val="en-US" w:eastAsia="zh-CN"/>
              </w:rPr>
              <w:t>P2“一（九）”所述固定承销费用。</w:t>
            </w:r>
          </w:p>
          <w:p>
            <w:pPr>
              <w:pStyle w:val="9"/>
              <w:rPr>
                <w:rFonts w:ascii="Times New Roman" w:hAnsi="Times New Roman"/>
                <w:color w:val="000000"/>
                <w:kern w:val="0"/>
                <w:szCs w:val="21"/>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（2）技术部分（满分</w:t>
            </w:r>
            <w:r>
              <w:rPr>
                <w:rFonts w:hint="eastAsia" w:ascii="Times New Roman" w:hAnsi="Times New Roman"/>
                <w:b/>
                <w:bCs/>
                <w:color w:val="000000"/>
                <w:kern w:val="0"/>
                <w:szCs w:val="21"/>
                <w:lang w:val="en-US" w:eastAsia="zh-CN"/>
              </w:rPr>
              <w:t>40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eastAsia="zh-CN"/>
              </w:rPr>
              <w:t>承销方案</w:t>
            </w:r>
            <w:r>
              <w:rPr>
                <w:rFonts w:ascii="Times New Roman" w:hAnsi="Times New Roman"/>
                <w:color w:val="000000"/>
                <w:kern w:val="0"/>
                <w:szCs w:val="21"/>
              </w:rPr>
              <w:t xml:space="preserve">   </w:t>
            </w:r>
          </w:p>
        </w:tc>
        <w:tc>
          <w:tcPr>
            <w:tcW w:w="5954" w:type="dxa"/>
            <w:tcBorders>
              <w:tl2br w:val="nil"/>
              <w:tr2bl w:val="nil"/>
            </w:tcBorders>
            <w:noWrap w:val="0"/>
            <w:vAlign w:val="center"/>
          </w:tcPr>
          <w:p>
            <w:pPr>
              <w:pStyle w:val="9"/>
              <w:rPr>
                <w:rFonts w:ascii="Times New Roman" w:hAnsi="Times New Roman"/>
              </w:rPr>
            </w:pPr>
            <w:r>
              <w:rPr>
                <w:rFonts w:ascii="Times New Roman" w:hAnsi="Times New Roman"/>
              </w:rPr>
              <w:t>投标人设计的发行方案是否完善、合理。</w:t>
            </w:r>
            <w:r>
              <w:rPr>
                <w:rFonts w:hint="eastAsia" w:ascii="Times New Roman" w:hAnsi="Times New Roman"/>
                <w:lang w:eastAsia="zh-CN"/>
              </w:rPr>
              <w:t>包括但不限于以下要素</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1</w:t>
            </w:r>
            <w:r>
              <w:rPr>
                <w:rFonts w:ascii="Times New Roman" w:hAnsi="Times New Roman"/>
              </w:rPr>
              <w:t>、项目需重点关注问题及解决方案；</w:t>
            </w:r>
          </w:p>
          <w:p>
            <w:pPr>
              <w:pStyle w:val="9"/>
              <w:rPr>
                <w:rFonts w:ascii="Times New Roman" w:hAnsi="Times New Roman"/>
              </w:rPr>
            </w:pPr>
            <w:r>
              <w:rPr>
                <w:rFonts w:hint="eastAsia" w:ascii="Times New Roman" w:hAnsi="Times New Roman"/>
                <w:lang w:val="en-US" w:eastAsia="zh-CN"/>
              </w:rPr>
              <w:t>2</w:t>
            </w:r>
            <w:r>
              <w:rPr>
                <w:rFonts w:ascii="Times New Roman" w:hAnsi="Times New Roman"/>
              </w:rPr>
              <w:t>、</w:t>
            </w:r>
            <w:r>
              <w:rPr>
                <w:rFonts w:hint="eastAsia" w:ascii="Times New Roman" w:hAnsi="Times New Roman"/>
                <w:lang w:eastAsia="zh-CN"/>
              </w:rPr>
              <w:t>保障发行的措施</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3</w:t>
            </w:r>
            <w:r>
              <w:rPr>
                <w:rFonts w:ascii="Times New Roman" w:hAnsi="Times New Roman"/>
              </w:rPr>
              <w:t>、</w:t>
            </w:r>
            <w:r>
              <w:rPr>
                <w:rFonts w:hint="eastAsia" w:ascii="Times New Roman" w:hAnsi="Times New Roman"/>
                <w:lang w:eastAsia="zh-CN"/>
              </w:rPr>
              <w:t>如何提高项目注册效率</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4</w:t>
            </w:r>
            <w:r>
              <w:rPr>
                <w:rFonts w:ascii="Times New Roman" w:hAnsi="Times New Roman"/>
              </w:rPr>
              <w:t>、</w:t>
            </w:r>
            <w:r>
              <w:rPr>
                <w:rFonts w:hint="eastAsia" w:ascii="Times New Roman" w:hAnsi="Times New Roman"/>
                <w:lang w:eastAsia="zh-CN"/>
              </w:rPr>
              <w:t>降低发行成本的建议</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5</w:t>
            </w:r>
            <w:r>
              <w:rPr>
                <w:rFonts w:ascii="Times New Roman" w:hAnsi="Times New Roman"/>
              </w:rPr>
              <w:t>、项目进度时间安排；</w:t>
            </w:r>
          </w:p>
          <w:p>
            <w:pPr>
              <w:pStyle w:val="9"/>
              <w:rPr>
                <w:rFonts w:ascii="Times New Roman" w:hAnsi="Times New Roman"/>
              </w:rPr>
            </w:pPr>
            <w:r>
              <w:rPr>
                <w:rFonts w:hint="eastAsia" w:ascii="Times New Roman" w:hAnsi="Times New Roman"/>
                <w:lang w:val="en-US" w:eastAsia="zh-CN"/>
              </w:rPr>
              <w:t>6</w:t>
            </w:r>
            <w:r>
              <w:rPr>
                <w:rFonts w:ascii="Times New Roman" w:hAnsi="Times New Roman"/>
              </w:rPr>
              <w:t>、</w:t>
            </w:r>
            <w:r>
              <w:rPr>
                <w:rFonts w:hint="eastAsia" w:ascii="Times New Roman" w:hAnsi="Times New Roman"/>
                <w:lang w:eastAsia="zh-CN"/>
              </w:rPr>
              <w:t>投标人的优势</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7</w:t>
            </w:r>
            <w:r>
              <w:rPr>
                <w:rFonts w:ascii="Times New Roman" w:hAnsi="Times New Roman"/>
              </w:rPr>
              <w:t>、债券存续期服务安排；</w:t>
            </w:r>
          </w:p>
          <w:p>
            <w:pPr>
              <w:pStyle w:val="9"/>
              <w:rPr>
                <w:rFonts w:ascii="Times New Roman" w:hAnsi="Times New Roman"/>
              </w:rPr>
            </w:pPr>
            <w:r>
              <w:rPr>
                <w:rFonts w:hint="eastAsia" w:ascii="Times New Roman" w:hAnsi="Times New Roman"/>
                <w:lang w:val="en-US" w:eastAsia="zh-CN"/>
              </w:rPr>
              <w:t>8</w:t>
            </w:r>
            <w:r>
              <w:rPr>
                <w:rFonts w:ascii="Times New Roman" w:hAnsi="Times New Roman"/>
              </w:rPr>
              <w:t>、</w:t>
            </w:r>
            <w:r>
              <w:rPr>
                <w:rFonts w:hint="eastAsia" w:ascii="Times New Roman" w:hAnsi="Times New Roman"/>
                <w:lang w:eastAsia="zh-CN"/>
              </w:rPr>
              <w:t>其他服务性承诺</w:t>
            </w:r>
            <w:r>
              <w:rPr>
                <w:rFonts w:ascii="Times New Roman" w:hAnsi="Times New Roman"/>
              </w:rPr>
              <w:t>。</w:t>
            </w:r>
          </w:p>
          <w:p>
            <w:pPr>
              <w:widowControl/>
              <w:jc w:val="left"/>
              <w:rPr>
                <w:rFonts w:hint="eastAsia" w:ascii="Times New Roman" w:hAnsi="Times New Roman" w:eastAsia="宋体"/>
                <w:color w:val="000000"/>
                <w:kern w:val="0"/>
                <w:szCs w:val="21"/>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noWrap w:val="0"/>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（日历天）：</w:t>
            </w:r>
          </w:p>
          <w:p>
            <w:pPr>
              <w:widowControl/>
              <w:spacing w:line="360" w:lineRule="exact"/>
              <w:jc w:val="left"/>
              <w:rPr>
                <w:rFonts w:ascii="Times New Roman" w:hAnsi="Times New Roman"/>
                <w:color w:val="000000"/>
                <w:kern w:val="0"/>
                <w:szCs w:val="21"/>
              </w:rPr>
            </w:pPr>
            <w:r>
              <w:rPr>
                <w:rFonts w:hint="eastAsia" w:ascii="Times New Roman" w:hAnsi="Times New Roman"/>
                <w:color w:val="000000"/>
                <w:kern w:val="0"/>
                <w:szCs w:val="21"/>
                <w:lang w:val="en-US" w:eastAsia="zh-CN"/>
              </w:rPr>
              <w:t>20天内得10分，30天内得5分，30天以上</w:t>
            </w:r>
            <w:r>
              <w:rPr>
                <w:rFonts w:ascii="Times New Roman" w:hAnsi="Times New Roman"/>
                <w:color w:val="000000"/>
                <w:kern w:val="0"/>
                <w:szCs w:val="21"/>
              </w:rPr>
              <w:t>不得分。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noWrap w:val="0"/>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存续期服务承诺是否完善</w:t>
            </w:r>
            <w:r>
              <w:rPr>
                <w:rFonts w:hint="eastAsia" w:ascii="Times New Roman" w:hAnsi="Times New Roman"/>
                <w:color w:val="000000"/>
                <w:kern w:val="0"/>
                <w:szCs w:val="21"/>
              </w:rPr>
              <w:t>、</w:t>
            </w:r>
            <w:r>
              <w:rPr>
                <w:rFonts w:ascii="Times New Roman" w:hAnsi="Times New Roman"/>
                <w:color w:val="000000"/>
                <w:kern w:val="0"/>
                <w:szCs w:val="21"/>
              </w:rPr>
              <w:t>合理</w:t>
            </w:r>
            <w:r>
              <w:rPr>
                <w:rFonts w:hint="eastAsia" w:ascii="Times New Roman" w:hAnsi="Times New Roman"/>
                <w:color w:val="000000"/>
                <w:kern w:val="0"/>
                <w:szCs w:val="21"/>
              </w:rPr>
              <w:t>，对意外风险应变措施强、应急方案完善、可行性强的，</w:t>
            </w:r>
            <w:r>
              <w:rPr>
                <w:rFonts w:hint="eastAsia"/>
                <w:lang w:eastAsia="zh-CN"/>
              </w:rPr>
              <w:t>有得</w:t>
            </w:r>
            <w:r>
              <w:rPr>
                <w:rFonts w:hint="eastAsia"/>
                <w:lang w:val="en-US" w:eastAsia="zh-CN"/>
              </w:rPr>
              <w:t>5</w:t>
            </w:r>
            <w:r>
              <w:t>分</w:t>
            </w:r>
            <w:r>
              <w:rPr>
                <w:rFonts w:hint="eastAsia"/>
                <w:lang w:eastAsia="zh-CN"/>
              </w:rPr>
              <w:t>，</w:t>
            </w:r>
            <w:r>
              <w:rPr>
                <w:rFonts w:ascii="Times New Roman" w:hAnsi="Times New Roman"/>
                <w:color w:val="000000"/>
                <w:kern w:val="0"/>
                <w:szCs w:val="21"/>
              </w:rPr>
              <w:t>缺项不得分。缺项不得分。评审内容主要包括但不仅限于：存续期服务承诺以及意外风险应变、备选方案等。</w:t>
            </w:r>
          </w:p>
        </w:tc>
        <w:tc>
          <w:tcPr>
            <w:tcW w:w="1090" w:type="dxa"/>
            <w:tcBorders>
              <w:tl2br w:val="nil"/>
              <w:tr2bl w:val="nil"/>
            </w:tcBorders>
            <w:noWrap/>
            <w:vAlign w:val="center"/>
          </w:tcPr>
          <w:p>
            <w:pPr>
              <w:widowControl/>
              <w:jc w:val="center"/>
              <w:rPr>
                <w:rFonts w:ascii="Times New Roman" w:hAnsi="Times New Roman"/>
                <w:color w:val="auto"/>
                <w:kern w:val="0"/>
                <w:szCs w:val="21"/>
              </w:rPr>
            </w:pPr>
            <w:r>
              <w:rPr>
                <w:rFonts w:hint="eastAsia" w:ascii="Times New Roman" w:hAnsi="Times New Roman"/>
                <w:color w:val="auto"/>
                <w:kern w:val="0"/>
                <w:szCs w:val="21"/>
                <w:lang w:val="en-US" w:eastAsia="zh-CN"/>
              </w:rPr>
              <w:t>5</w:t>
            </w:r>
            <w:r>
              <w:rPr>
                <w:rFonts w:hint="eastAsia" w:ascii="Times New Roman" w:hAnsi="Times New Roman"/>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noWrap/>
            <w:vAlign w:val="center"/>
          </w:tcPr>
          <w:p>
            <w:pPr>
              <w:autoSpaceDE w:val="0"/>
              <w:autoSpaceDN w:val="0"/>
              <w:adjustRightInd w:val="0"/>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余额包销</w:t>
            </w:r>
          </w:p>
        </w:tc>
        <w:tc>
          <w:tcPr>
            <w:tcW w:w="5954" w:type="dxa"/>
            <w:tcBorders>
              <w:tl2br w:val="nil"/>
              <w:tr2bl w:val="nil"/>
            </w:tcBorders>
            <w:noWrap w:val="0"/>
            <w:vAlign w:val="center"/>
          </w:tcPr>
          <w:p>
            <w:pPr>
              <w:widowControl/>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eastAsia="zh-CN"/>
              </w:rPr>
              <w:t>承诺余额包销得</w:t>
            </w:r>
            <w:r>
              <w:rPr>
                <w:rFonts w:hint="eastAsia" w:ascii="Times New Roman" w:hAnsi="Times New Roman"/>
                <w:color w:val="000000"/>
                <w:kern w:val="0"/>
                <w:szCs w:val="21"/>
                <w:lang w:val="en-US" w:eastAsia="zh-CN"/>
              </w:rPr>
              <w:t>5分，否则不得分。</w:t>
            </w:r>
          </w:p>
        </w:tc>
        <w:tc>
          <w:tcPr>
            <w:tcW w:w="1090" w:type="dxa"/>
            <w:tcBorders>
              <w:tl2br w:val="nil"/>
              <w:tr2bl w:val="nil"/>
            </w:tcBorders>
            <w:noWrap/>
            <w:vAlign w:val="center"/>
          </w:tcPr>
          <w:p>
            <w:pPr>
              <w:widowControl/>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930" w:type="dxa"/>
            <w:gridSpan w:val="3"/>
            <w:tcBorders>
              <w:tl2br w:val="nil"/>
              <w:tr2bl w:val="nil"/>
            </w:tcBorders>
            <w:noWrap/>
            <w:vAlign w:val="center"/>
          </w:tcPr>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50</w:t>
            </w:r>
            <w:r>
              <w:rPr>
                <w:b/>
                <w:bCs/>
              </w:rPr>
              <w:t>分）</w:t>
            </w:r>
          </w:p>
          <w:p>
            <w:pPr>
              <w:pStyle w:val="23"/>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单位：亿元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0"/>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86" w:type="dxa"/>
            <w:tcBorders>
              <w:tl2br w:val="nil"/>
              <w:tr2bl w:val="nil"/>
            </w:tcBorders>
            <w:noWrap w:val="0"/>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承销业绩</w:t>
            </w:r>
          </w:p>
        </w:tc>
        <w:tc>
          <w:tcPr>
            <w:tcW w:w="5954" w:type="dxa"/>
            <w:tcBorders>
              <w:tl2br w:val="nil"/>
              <w:tr2bl w:val="nil"/>
            </w:tcBorders>
            <w:noWrap w:val="0"/>
            <w:vAlign w:val="center"/>
          </w:tcPr>
          <w:p>
            <w:pPr>
              <w:pStyle w:val="9"/>
              <w:widowControl/>
              <w:jc w:val="left"/>
              <w:rPr>
                <w:rFonts w:hint="eastAsia" w:ascii="Times New Roman" w:hAnsi="Times New Roman" w:eastAsia="宋体"/>
                <w:lang w:val="en-US" w:eastAsia="zh-CN"/>
              </w:rPr>
            </w:pPr>
            <w:r>
              <w:rPr>
                <w:rFonts w:hint="default" w:ascii="Times New Roman" w:hAnsi="Times New Roman" w:eastAsia="宋体"/>
                <w:lang w:val="en-US" w:eastAsia="zh-CN"/>
              </w:rPr>
              <w:t>自20</w:t>
            </w:r>
            <w:r>
              <w:rPr>
                <w:rFonts w:hint="eastAsia" w:ascii="Times New Roman" w:hAnsi="Times New Roman" w:eastAsia="宋体"/>
                <w:lang w:val="en-US" w:eastAsia="zh-CN"/>
              </w:rPr>
              <w:t>20</w:t>
            </w:r>
            <w:r>
              <w:rPr>
                <w:rFonts w:hint="default" w:ascii="Times New Roman" w:hAnsi="Times New Roman" w:eastAsia="宋体"/>
                <w:lang w:val="en-US" w:eastAsia="zh-CN"/>
              </w:rPr>
              <w:t>年1月1日至20</w:t>
            </w:r>
            <w:r>
              <w:rPr>
                <w:rFonts w:hint="eastAsia" w:ascii="Times New Roman" w:hAnsi="Times New Roman" w:eastAsia="宋体"/>
                <w:lang w:val="en-US" w:eastAsia="zh-CN"/>
              </w:rPr>
              <w:t>21</w:t>
            </w:r>
            <w:r>
              <w:rPr>
                <w:rFonts w:hint="default" w:ascii="Times New Roman" w:hAnsi="Times New Roman" w:eastAsia="宋体"/>
                <w:lang w:val="en-US" w:eastAsia="zh-CN"/>
              </w:rPr>
              <w:t>年</w:t>
            </w:r>
            <w:r>
              <w:rPr>
                <w:rFonts w:hint="eastAsia" w:ascii="Times New Roman" w:hAnsi="Times New Roman" w:eastAsia="宋体"/>
                <w:lang w:val="en-US" w:eastAsia="zh-CN"/>
              </w:rPr>
              <w:t>3</w:t>
            </w:r>
            <w:r>
              <w:rPr>
                <w:rFonts w:hint="default" w:ascii="Times New Roman" w:hAnsi="Times New Roman" w:eastAsia="宋体"/>
                <w:lang w:val="en-US" w:eastAsia="zh-CN"/>
              </w:rPr>
              <w:t>月31日在全国范围内的</w:t>
            </w:r>
            <w:r>
              <w:rPr>
                <w:rFonts w:hint="eastAsia" w:ascii="Times New Roman" w:hAnsi="Times New Roman" w:eastAsia="宋体"/>
                <w:lang w:val="en-US" w:eastAsia="zh-CN"/>
              </w:rPr>
              <w:t>公司债</w:t>
            </w:r>
            <w:r>
              <w:rPr>
                <w:rFonts w:hint="default" w:ascii="Times New Roman" w:hAnsi="Times New Roman" w:eastAsia="宋体"/>
                <w:lang w:val="en-US" w:eastAsia="zh-CN"/>
              </w:rPr>
              <w:t>总承销金额</w:t>
            </w:r>
            <w:r>
              <w:rPr>
                <w:rFonts w:hint="eastAsia" w:ascii="Times New Roman" w:hAnsi="Times New Roman" w:eastAsia="宋体"/>
                <w:lang w:val="en-US" w:eastAsia="zh-CN"/>
              </w:rPr>
              <w:t>，总承销金额500亿元（含）以上得1</w:t>
            </w:r>
            <w:r>
              <w:rPr>
                <w:rFonts w:hint="eastAsia" w:ascii="Times New Roman" w:hAnsi="Times New Roman"/>
                <w:lang w:val="en-US" w:eastAsia="zh-CN"/>
              </w:rPr>
              <w:t>0</w:t>
            </w:r>
            <w:r>
              <w:rPr>
                <w:rFonts w:hint="eastAsia" w:ascii="Times New Roman" w:hAnsi="Times New Roman" w:eastAsia="宋体"/>
                <w:lang w:val="en-US" w:eastAsia="zh-CN"/>
              </w:rPr>
              <w:t>分，400（含）至500（不含）亿元得</w:t>
            </w:r>
            <w:r>
              <w:rPr>
                <w:rFonts w:hint="eastAsia" w:ascii="Times New Roman" w:hAnsi="Times New Roman"/>
                <w:lang w:val="en-US" w:eastAsia="zh-CN"/>
              </w:rPr>
              <w:t>7</w:t>
            </w:r>
            <w:r>
              <w:rPr>
                <w:rFonts w:hint="eastAsia" w:ascii="Times New Roman" w:hAnsi="Times New Roman" w:eastAsia="宋体"/>
                <w:lang w:val="en-US" w:eastAsia="zh-CN"/>
              </w:rPr>
              <w:t>分，400亿元以下得5分</w:t>
            </w:r>
            <w:r>
              <w:rPr>
                <w:rFonts w:hint="eastAsia" w:ascii="Times New Roman" w:hAnsi="Times New Roman"/>
                <w:lang w:val="en-US" w:eastAsia="zh-CN"/>
              </w:rPr>
              <w:t>。</w:t>
            </w:r>
          </w:p>
          <w:p>
            <w:pPr>
              <w:pStyle w:val="9"/>
              <w:widowControl/>
              <w:jc w:val="left"/>
              <w:rPr>
                <w:rFonts w:ascii="Times New Roman" w:hAnsi="Times New Roman"/>
                <w:color w:val="000000"/>
                <w:kern w:val="0"/>
                <w:szCs w:val="21"/>
              </w:rPr>
            </w:pPr>
            <w:r>
              <w:rPr>
                <w:rFonts w:hint="default" w:ascii="Times New Roman" w:hAnsi="Times New Roman" w:eastAsia="宋体"/>
                <w:lang w:val="en-US" w:eastAsia="zh-CN"/>
              </w:rPr>
              <w:t>（需提供Wind资讯查询截屏）。</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56"/>
              <w:jc w:val="center"/>
              <w:rPr>
                <w:rFonts w:hint="eastAsia" w:ascii="宋体" w:hAnsi="宋体" w:eastAsia="宋体" w:cs="Times New Roman"/>
                <w:b w:val="0"/>
                <w:bCs w:val="0"/>
                <w:color w:val="000000"/>
                <w:sz w:val="21"/>
                <w:szCs w:val="21"/>
                <w:lang w:val="en-US" w:eastAsia="zh-CN" w:bidi="ar-SA"/>
              </w:rPr>
            </w:pPr>
            <w:r>
              <w:rPr>
                <w:rFonts w:hint="eastAsia" w:ascii="宋体" w:hAnsi="宋体" w:eastAsia="宋体" w:cs="Times New Roman"/>
                <w:b w:val="0"/>
                <w:bCs w:val="0"/>
                <w:color w:val="000000"/>
                <w:sz w:val="21"/>
                <w:szCs w:val="21"/>
                <w:lang w:val="en-US" w:eastAsia="zh-CN" w:bidi="ar-SA"/>
              </w:rPr>
              <w:t>创新创业公司债承销业绩</w:t>
            </w:r>
          </w:p>
        </w:tc>
        <w:tc>
          <w:tcPr>
            <w:tcW w:w="5954" w:type="dxa"/>
            <w:tcBorders>
              <w:tl2br w:val="nil"/>
              <w:tr2bl w:val="nil"/>
            </w:tcBorders>
            <w:noWrap w:val="0"/>
            <w:vAlign w:val="center"/>
          </w:tcPr>
          <w:p>
            <w:pPr>
              <w:pStyle w:val="9"/>
              <w:widowControl/>
              <w:jc w:val="left"/>
              <w:rPr>
                <w:rFonts w:hint="eastAsia" w:ascii="Times New Roman" w:hAnsi="Times New Roman" w:eastAsia="宋体"/>
                <w:lang w:val="en-US" w:eastAsia="zh-CN"/>
              </w:rPr>
            </w:pPr>
            <w:r>
              <w:rPr>
                <w:rFonts w:hint="eastAsia" w:ascii="Times New Roman" w:hAnsi="Times New Roman"/>
                <w:lang w:val="en-US" w:eastAsia="zh-CN"/>
              </w:rPr>
              <w:t>永煤事件后（2020年11月10日）—至今</w:t>
            </w:r>
            <w:r>
              <w:rPr>
                <w:rFonts w:hint="default" w:ascii="Times New Roman" w:hAnsi="Times New Roman" w:eastAsia="宋体"/>
                <w:lang w:val="en-US" w:eastAsia="zh-CN"/>
              </w:rPr>
              <w:t>全国范围内</w:t>
            </w:r>
            <w:r>
              <w:rPr>
                <w:rFonts w:hint="eastAsia" w:ascii="Times New Roman" w:hAnsi="Times New Roman"/>
                <w:lang w:val="en-US" w:eastAsia="zh-CN"/>
              </w:rPr>
              <w:t>独立主承</w:t>
            </w:r>
            <w:r>
              <w:rPr>
                <w:rFonts w:hint="eastAsia" w:ascii="Times New Roman" w:hAnsi="Times New Roman" w:eastAsia="宋体"/>
                <w:lang w:val="en-US" w:eastAsia="zh-CN"/>
              </w:rPr>
              <w:t>创新创业公司债</w:t>
            </w:r>
            <w:r>
              <w:rPr>
                <w:rFonts w:hint="eastAsia" w:ascii="Times New Roman" w:hAnsi="Times New Roman"/>
                <w:lang w:val="en-US" w:eastAsia="zh-CN"/>
              </w:rPr>
              <w:t>业绩</w:t>
            </w:r>
            <w:r>
              <w:rPr>
                <w:rFonts w:hint="eastAsia" w:ascii="Times New Roman" w:hAnsi="Times New Roman" w:eastAsia="宋体"/>
                <w:lang w:val="en-US" w:eastAsia="zh-CN"/>
              </w:rPr>
              <w:t>：成功获批创新创业公司债，每获批一单得1</w:t>
            </w:r>
            <w:r>
              <w:rPr>
                <w:rFonts w:hint="eastAsia" w:ascii="Times New Roman" w:hAnsi="Times New Roman"/>
                <w:lang w:val="en-US" w:eastAsia="zh-CN"/>
              </w:rPr>
              <w:t>5</w:t>
            </w:r>
            <w:r>
              <w:rPr>
                <w:rFonts w:hint="eastAsia" w:ascii="Times New Roman" w:hAnsi="Times New Roman" w:eastAsia="宋体"/>
                <w:lang w:val="en-US" w:eastAsia="zh-CN"/>
              </w:rPr>
              <w:t>分，最多得</w:t>
            </w:r>
            <w:r>
              <w:rPr>
                <w:rFonts w:hint="eastAsia" w:ascii="Times New Roman" w:hAnsi="Times New Roman"/>
                <w:lang w:val="en-US" w:eastAsia="zh-CN"/>
              </w:rPr>
              <w:t>30</w:t>
            </w:r>
            <w:r>
              <w:rPr>
                <w:rFonts w:hint="eastAsia" w:ascii="Times New Roman" w:hAnsi="Times New Roman" w:eastAsia="宋体"/>
                <w:lang w:val="en-US" w:eastAsia="zh-CN"/>
              </w:rPr>
              <w:t>分，没有创新创业公司债承销经验的不得分。（需提供相关证明）</w:t>
            </w:r>
          </w:p>
        </w:tc>
        <w:tc>
          <w:tcPr>
            <w:tcW w:w="1090" w:type="dxa"/>
            <w:tcBorders>
              <w:tl2br w:val="nil"/>
              <w:tr2bl w:val="nil"/>
            </w:tcBorders>
            <w:noWrap w:val="0"/>
            <w:vAlign w:val="center"/>
          </w:tcPr>
          <w:p>
            <w:pPr>
              <w:spacing w:line="500" w:lineRule="exact"/>
              <w:jc w:val="center"/>
              <w:rPr>
                <w:rFonts w:hint="default" w:ascii="Times New Roman" w:hAnsi="Times New Roman" w:eastAsia="宋体" w:cs="Times New Roman"/>
                <w:b w:val="0"/>
                <w:bCs w:val="0"/>
                <w:color w:val="000000"/>
                <w:kern w:val="0"/>
                <w:sz w:val="21"/>
                <w:szCs w:val="21"/>
                <w:lang w:val="en-US" w:eastAsia="zh-CN" w:bidi="ar-SA"/>
              </w:rPr>
            </w:pPr>
            <w:r>
              <w:rPr>
                <w:rFonts w:hint="eastAsia" w:ascii="Times New Roman" w:hAnsi="Times New Roman" w:cs="Times New Roman"/>
                <w:b w:val="0"/>
                <w:bCs w:val="0"/>
                <w:color w:val="000000"/>
                <w:kern w:val="0"/>
                <w:sz w:val="21"/>
                <w:szCs w:val="21"/>
                <w:lang w:val="en-US" w:eastAsia="zh-CN" w:bidi="ar-SA"/>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noWrap w:val="0"/>
            <w:vAlign w:val="center"/>
          </w:tcPr>
          <w:p>
            <w:pPr>
              <w:widowControl/>
              <w:jc w:val="left"/>
              <w:rPr>
                <w:rFonts w:hint="default" w:ascii="Times New Roman" w:hAnsi="Times New Roman" w:eastAsia="宋体" w:cs="Times New Roman"/>
                <w:b w:val="0"/>
                <w:bCs/>
                <w:color w:val="000000"/>
                <w:lang w:val="en-US" w:eastAsia="zh-CN"/>
              </w:rPr>
            </w:pPr>
            <w:r>
              <w:rPr>
                <w:rFonts w:ascii="Times New Roman" w:hAnsi="Times New Roman" w:eastAsia="宋体" w:cs="Times New Roman"/>
                <w:b w:val="0"/>
                <w:bCs/>
                <w:color w:val="000000"/>
              </w:rPr>
              <w:t>本项目总协调人为券商机构总部投行部门债券市场区域团队负责人及以上级别得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分，否则不得分；拟派项目主办人员201</w:t>
            </w:r>
            <w:r>
              <w:rPr>
                <w:rFonts w:hint="eastAsia" w:ascii="Times New Roman" w:hAnsi="Times New Roman" w:eastAsia="宋体" w:cs="Times New Roman"/>
                <w:b w:val="0"/>
                <w:bCs/>
                <w:color w:val="000000"/>
                <w:lang w:val="en-US" w:eastAsia="zh-CN"/>
              </w:rPr>
              <w:t>9</w:t>
            </w:r>
            <w:r>
              <w:rPr>
                <w:rFonts w:ascii="Times New Roman" w:hAnsi="Times New Roman" w:eastAsia="宋体" w:cs="Times New Roman"/>
                <w:b w:val="0"/>
                <w:bCs/>
                <w:color w:val="000000"/>
              </w:rPr>
              <w:t>年至今完成</w:t>
            </w:r>
            <w:r>
              <w:rPr>
                <w:rFonts w:hint="eastAsia" w:ascii="Times New Roman" w:hAnsi="Times New Roman" w:cs="Times New Roman"/>
                <w:b w:val="0"/>
                <w:bCs/>
                <w:color w:val="000000"/>
                <w:lang w:eastAsia="zh-CN"/>
              </w:rPr>
              <w:t>公司债券</w:t>
            </w:r>
            <w:r>
              <w:rPr>
                <w:rFonts w:ascii="Times New Roman" w:hAnsi="Times New Roman" w:eastAsia="宋体" w:cs="Times New Roman"/>
                <w:b w:val="0"/>
                <w:bCs/>
                <w:color w:val="000000"/>
              </w:rPr>
              <w:t>发行3支以上得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w:t>
            </w:r>
            <w:r>
              <w:rPr>
                <w:rFonts w:hint="eastAsia" w:ascii="Times New Roman" w:hAnsi="Times New Roman" w:cs="Times New Roman"/>
                <w:b w:val="0"/>
                <w:bCs/>
                <w:color w:val="000000"/>
                <w:lang w:eastAsia="zh-CN"/>
              </w:rPr>
              <w:t>，否则</w:t>
            </w:r>
            <w:r>
              <w:rPr>
                <w:rFonts w:hint="eastAsia" w:ascii="Times New Roman" w:hAnsi="Times New Roman" w:eastAsia="宋体" w:cs="Times New Roman"/>
                <w:b w:val="0"/>
                <w:bCs/>
                <w:color w:val="000000"/>
                <w:lang w:val="en-US" w:eastAsia="zh-CN"/>
              </w:rPr>
              <w:t>不得分。</w:t>
            </w:r>
          </w:p>
          <w:p>
            <w:pPr>
              <w:widowControl/>
              <w:jc w:val="left"/>
              <w:rPr>
                <w:rFonts w:ascii="Times New Roman" w:hAnsi="Times New Roman"/>
                <w:kern w:val="0"/>
                <w:szCs w:val="21"/>
              </w:rPr>
            </w:pPr>
            <w:r>
              <w:rPr>
                <w:rFonts w:ascii="Times New Roman" w:hAnsi="Times New Roman" w:eastAsia="宋体" w:cs="Times New Roman"/>
                <w:b w:val="0"/>
                <w:bCs/>
                <w:color w:val="000000"/>
              </w:rPr>
              <w:t>（需提供相关证明）</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3"/>
            <w:tcBorders>
              <w:tl2br w:val="nil"/>
              <w:tr2bl w:val="nil"/>
            </w:tcBorders>
            <w:noWrap w:val="0"/>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7、承销业绩一览表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10、</w:t>
      </w:r>
      <w:r>
        <w:rPr>
          <w:rFonts w:hint="eastAsia" w:ascii="仿宋" w:hAnsi="仿宋" w:eastAsia="仿宋" w:cs="仿宋"/>
          <w:b w:val="0"/>
          <w:bCs w:val="0"/>
          <w:sz w:val="30"/>
          <w:szCs w:val="30"/>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11</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sz w:val="30"/>
          <w:szCs w:val="30"/>
        </w:rPr>
        <w:t>项目</w:t>
      </w:r>
      <w:r>
        <w:rPr>
          <w:rFonts w:hint="eastAsia" w:ascii="仿宋" w:hAnsi="仿宋" w:eastAsia="仿宋"/>
          <w:sz w:val="30"/>
          <w:szCs w:val="30"/>
          <w:lang w:eastAsia="zh-CN"/>
        </w:rPr>
        <w:t>双创公司债公司债券</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sz w:val="30"/>
          <w:szCs w:val="30"/>
          <w:lang w:eastAsia="zh-CN"/>
        </w:rPr>
        <w:t>双创公司债公司债券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7"/>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59264;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1312;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7"/>
        <w:spacing w:line="600" w:lineRule="exact"/>
        <w:ind w:left="200" w:firstLine="0" w:firstLineChars="0"/>
        <w:rPr>
          <w:rFonts w:ascii="仿宋" w:hAnsi="仿宋" w:eastAsia="仿宋" w:cs="仿宋_GB2312"/>
          <w:sz w:val="30"/>
          <w:szCs w:val="30"/>
        </w:rPr>
      </w:pPr>
    </w:p>
    <w:p>
      <w:pPr>
        <w:pStyle w:val="47"/>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8"/>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7"/>
        <w:spacing w:line="600" w:lineRule="exact"/>
        <w:ind w:firstLine="0" w:firstLineChars="0"/>
        <w:rPr>
          <w:rFonts w:ascii="仿宋" w:hAnsi="仿宋" w:eastAsia="仿宋" w:cs="仿宋_GB2312"/>
          <w:sz w:val="30"/>
          <w:szCs w:val="30"/>
        </w:rPr>
      </w:pPr>
    </w:p>
    <w:p>
      <w:pPr>
        <w:pStyle w:val="47"/>
        <w:spacing w:line="600" w:lineRule="exact"/>
        <w:ind w:firstLine="0" w:firstLineChars="0"/>
        <w:rPr>
          <w:rFonts w:ascii="仿宋" w:hAnsi="仿宋" w:eastAsia="仿宋" w:cs="仿宋_GB2312"/>
          <w:sz w:val="30"/>
          <w:szCs w:val="30"/>
        </w:rPr>
      </w:pPr>
    </w:p>
    <w:p>
      <w:pPr>
        <w:pStyle w:val="47"/>
        <w:spacing w:line="600" w:lineRule="exact"/>
        <w:ind w:firstLine="0" w:firstLineChars="0"/>
        <w:rPr>
          <w:rFonts w:ascii="仿宋" w:hAnsi="仿宋" w:eastAsia="仿宋" w:cs="仿宋_GB2312"/>
          <w:sz w:val="30"/>
          <w:szCs w:val="30"/>
        </w:rPr>
      </w:pPr>
    </w:p>
    <w:p>
      <w:pPr>
        <w:pStyle w:val="47"/>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附件7、</w:t>
      </w:r>
    </w:p>
    <w:p>
      <w:pPr>
        <w:pStyle w:val="47"/>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 xml:space="preserve">             </w:t>
      </w:r>
      <w:r>
        <w:rPr>
          <w:rFonts w:hint="eastAsia" w:ascii="仿宋" w:hAnsi="仿宋" w:eastAsia="仿宋" w:cs="仿宋_GB2312"/>
          <w:sz w:val="30"/>
          <w:szCs w:val="30"/>
          <w:lang w:val="en-US" w:eastAsia="zh-CN"/>
        </w:rPr>
        <w:t xml:space="preserve">   </w:t>
      </w:r>
      <w:r>
        <w:rPr>
          <w:rFonts w:hint="eastAsia" w:ascii="仿宋" w:hAnsi="仿宋" w:eastAsia="仿宋" w:cs="仿宋_GB2312"/>
          <w:b/>
          <w:bCs/>
          <w:color w:val="000000"/>
          <w:kern w:val="0"/>
          <w:sz w:val="30"/>
          <w:szCs w:val="30"/>
        </w:rPr>
        <w:t>承销业绩一览表</w:t>
      </w:r>
    </w:p>
    <w:p>
      <w:pPr>
        <w:pStyle w:val="47"/>
        <w:spacing w:line="600" w:lineRule="exact"/>
        <w:ind w:left="200" w:firstLine="0" w:firstLineChars="0"/>
        <w:rPr>
          <w:rFonts w:ascii="仿宋" w:hAnsi="仿宋" w:eastAsia="仿宋" w:cs="仿宋_GB2312"/>
          <w:sz w:val="30"/>
          <w:szCs w:val="30"/>
        </w:rPr>
      </w:pPr>
    </w:p>
    <w:tbl>
      <w:tblPr>
        <w:tblStyle w:val="18"/>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jc w:val="center"/>
        </w:trPr>
        <w:tc>
          <w:tcPr>
            <w:tcW w:w="1886" w:type="dxa"/>
            <w:tcBorders>
              <w:tl2br w:val="nil"/>
              <w:tr2bl w:val="nil"/>
            </w:tcBorders>
            <w:noWrap w:val="0"/>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承销业绩</w:t>
            </w:r>
          </w:p>
        </w:tc>
        <w:tc>
          <w:tcPr>
            <w:tcW w:w="5954" w:type="dxa"/>
            <w:tcBorders>
              <w:tl2br w:val="nil"/>
              <w:tr2bl w:val="nil"/>
            </w:tcBorders>
            <w:noWrap w:val="0"/>
            <w:vAlign w:val="center"/>
          </w:tcPr>
          <w:p>
            <w:pPr>
              <w:pStyle w:val="9"/>
              <w:widowControl/>
              <w:jc w:val="left"/>
              <w:rPr>
                <w:rFonts w:hint="eastAsia" w:ascii="Times New Roman" w:hAnsi="Times New Roman" w:eastAsia="宋体"/>
                <w:color w:val="000000"/>
                <w:kern w:val="0"/>
                <w:szCs w:val="21"/>
                <w:lang w:eastAsia="zh-CN"/>
              </w:rPr>
            </w:pPr>
          </w:p>
          <w:p>
            <w:pPr>
              <w:pStyle w:val="9"/>
              <w:widowControl/>
              <w:jc w:val="left"/>
              <w:rPr>
                <w:rFonts w:hint="eastAsia" w:ascii="Times New Roman" w:hAnsi="Times New Roman" w:eastAsia="宋体"/>
                <w:color w:val="000000"/>
                <w:kern w:val="0"/>
                <w:szCs w:val="21"/>
                <w:lang w:eastAsia="zh-CN"/>
              </w:rPr>
            </w:pPr>
          </w:p>
          <w:p>
            <w:pPr>
              <w:pStyle w:val="9"/>
              <w:widowControl/>
              <w:jc w:val="left"/>
              <w:rPr>
                <w:rFonts w:hint="eastAsia" w:ascii="Times New Roman" w:hAnsi="Times New Roman" w:eastAsia="宋体"/>
                <w:color w:val="000000"/>
                <w:kern w:val="0"/>
                <w:szCs w:val="21"/>
                <w:lang w:eastAsia="zh-CN"/>
              </w:rPr>
            </w:pPr>
          </w:p>
          <w:p>
            <w:pPr>
              <w:pStyle w:val="9"/>
              <w:widowControl/>
              <w:jc w:val="left"/>
              <w:rPr>
                <w:rFonts w:hint="eastAsia" w:ascii="Times New Roman" w:hAnsi="Times New Roman" w:eastAsia="宋体"/>
                <w:color w:val="000000"/>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56"/>
              <w:jc w:val="center"/>
              <w:rPr>
                <w:rFonts w:hint="eastAsia" w:ascii="宋体" w:hAnsi="宋体" w:eastAsia="宋体" w:cs="Times New Roman"/>
                <w:b w:val="0"/>
                <w:bCs w:val="0"/>
                <w:color w:val="000000"/>
                <w:sz w:val="21"/>
                <w:szCs w:val="21"/>
                <w:lang w:val="en-US" w:eastAsia="zh-CN" w:bidi="ar-SA"/>
              </w:rPr>
            </w:pPr>
            <w:r>
              <w:rPr>
                <w:rFonts w:hint="eastAsia" w:ascii="宋体" w:hAnsi="宋体" w:eastAsia="宋体" w:cs="Times New Roman"/>
                <w:b w:val="0"/>
                <w:bCs w:val="0"/>
                <w:color w:val="000000"/>
                <w:sz w:val="21"/>
                <w:szCs w:val="21"/>
                <w:lang w:val="en-US" w:eastAsia="zh-CN" w:bidi="ar-SA"/>
              </w:rPr>
              <w:t>创新创业公司债承销业绩</w:t>
            </w:r>
          </w:p>
        </w:tc>
        <w:tc>
          <w:tcPr>
            <w:tcW w:w="5954" w:type="dxa"/>
            <w:tcBorders>
              <w:tl2br w:val="nil"/>
              <w:tr2bl w:val="nil"/>
            </w:tcBorders>
            <w:noWrap w:val="0"/>
            <w:vAlign w:val="center"/>
          </w:tcPr>
          <w:p>
            <w:pPr>
              <w:pStyle w:val="9"/>
              <w:widowControl/>
              <w:jc w:val="left"/>
              <w:rPr>
                <w:rFonts w:hint="eastAsia" w:ascii="Times New Roman" w:hAnsi="Times New Roman" w:eastAsia="宋体"/>
                <w:lang w:val="en-US" w:eastAsia="zh-CN"/>
              </w:rPr>
            </w:pPr>
          </w:p>
          <w:p>
            <w:pPr>
              <w:pStyle w:val="9"/>
              <w:widowControl/>
              <w:jc w:val="left"/>
              <w:rPr>
                <w:rFonts w:hint="eastAsia" w:ascii="Times New Roman" w:hAnsi="Times New Roman" w:eastAsia="宋体"/>
                <w:lang w:val="en-US" w:eastAsia="zh-CN"/>
              </w:rPr>
            </w:pPr>
          </w:p>
          <w:p>
            <w:pPr>
              <w:pStyle w:val="9"/>
              <w:widowControl/>
              <w:jc w:val="left"/>
              <w:rPr>
                <w:rFonts w:hint="eastAsia" w:ascii="Times New Roman" w:hAnsi="Times New Roman" w:eastAsia="宋体"/>
                <w:lang w:val="en-US" w:eastAsia="zh-CN"/>
              </w:rPr>
            </w:pPr>
          </w:p>
          <w:p>
            <w:pPr>
              <w:pStyle w:val="9"/>
              <w:widowControl/>
              <w:jc w:val="left"/>
              <w:rPr>
                <w:rFonts w:hint="eastAsia" w:ascii="Times New Roman" w:hAnsi="Times New Roman" w:eastAsia="宋体"/>
                <w:lang w:val="en-US" w:eastAsia="zh-CN"/>
              </w:rPr>
            </w:pPr>
          </w:p>
        </w:tc>
      </w:tr>
    </w:tbl>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47"/>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7"/>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7"/>
        <w:spacing w:line="600" w:lineRule="exact"/>
        <w:ind w:left="200" w:firstLine="0" w:firstLineChars="0"/>
        <w:rPr>
          <w:rFonts w:ascii="仿宋" w:hAnsi="仿宋" w:eastAsia="仿宋"/>
          <w:sz w:val="32"/>
          <w:szCs w:val="32"/>
        </w:rPr>
      </w:pPr>
    </w:p>
    <w:p>
      <w:pPr>
        <w:pStyle w:val="47"/>
        <w:spacing w:line="600" w:lineRule="exact"/>
        <w:ind w:left="200" w:firstLine="0" w:firstLineChars="0"/>
        <w:rPr>
          <w:rFonts w:ascii="仿宋" w:hAnsi="仿宋" w:eastAsia="仿宋"/>
          <w:sz w:val="32"/>
          <w:szCs w:val="32"/>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11</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sz w:val="30"/>
          <w:szCs w:val="30"/>
          <w:lang w:eastAsia="zh-CN"/>
        </w:rPr>
        <w:t>双创公司债公司债券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交易所</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13</w:t>
    </w:r>
    <w:r>
      <w:rPr>
        <w:lang w:val="zh-C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E9194A"/>
    <w:rsid w:val="07103A76"/>
    <w:rsid w:val="07407110"/>
    <w:rsid w:val="07603392"/>
    <w:rsid w:val="08A20BDD"/>
    <w:rsid w:val="0B496569"/>
    <w:rsid w:val="0C3F1BC6"/>
    <w:rsid w:val="0EBB0A57"/>
    <w:rsid w:val="0F742C53"/>
    <w:rsid w:val="0FA054ED"/>
    <w:rsid w:val="148500C8"/>
    <w:rsid w:val="15286998"/>
    <w:rsid w:val="161B2363"/>
    <w:rsid w:val="16D910A7"/>
    <w:rsid w:val="1718035A"/>
    <w:rsid w:val="1FC53A57"/>
    <w:rsid w:val="217E5477"/>
    <w:rsid w:val="23727E39"/>
    <w:rsid w:val="23B7333F"/>
    <w:rsid w:val="293E6A67"/>
    <w:rsid w:val="2C2A3714"/>
    <w:rsid w:val="2F871FCE"/>
    <w:rsid w:val="30026DF1"/>
    <w:rsid w:val="372C139E"/>
    <w:rsid w:val="393F7483"/>
    <w:rsid w:val="3BE23D7D"/>
    <w:rsid w:val="406F6FE9"/>
    <w:rsid w:val="415B1F16"/>
    <w:rsid w:val="419D10B9"/>
    <w:rsid w:val="44E07C59"/>
    <w:rsid w:val="450867D9"/>
    <w:rsid w:val="493165BC"/>
    <w:rsid w:val="4AF01C50"/>
    <w:rsid w:val="4CAC0371"/>
    <w:rsid w:val="4F6C463F"/>
    <w:rsid w:val="4FFC21EB"/>
    <w:rsid w:val="52D43D82"/>
    <w:rsid w:val="54274F11"/>
    <w:rsid w:val="54A67FF7"/>
    <w:rsid w:val="555A6F32"/>
    <w:rsid w:val="58A53346"/>
    <w:rsid w:val="5A856E48"/>
    <w:rsid w:val="5B073E59"/>
    <w:rsid w:val="5B61690E"/>
    <w:rsid w:val="5DC54FB9"/>
    <w:rsid w:val="5F7472CA"/>
    <w:rsid w:val="606C3ED4"/>
    <w:rsid w:val="631F1E62"/>
    <w:rsid w:val="6520361E"/>
    <w:rsid w:val="67350F9E"/>
    <w:rsid w:val="688D41AC"/>
    <w:rsid w:val="6DBB3448"/>
    <w:rsid w:val="71221EFD"/>
    <w:rsid w:val="795A46B5"/>
    <w:rsid w:val="79FB4A4D"/>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link w:val="26"/>
    <w:qFormat/>
    <w:uiPriority w:val="0"/>
    <w:pPr>
      <w:keepNext/>
      <w:ind w:firstLine="241" w:firstLineChars="100"/>
      <w:outlineLvl w:val="1"/>
    </w:pPr>
    <w:rPr>
      <w:rFonts w:ascii="宋体" w:hAnsi="宋体"/>
      <w:b/>
      <w:bCs/>
      <w:sz w:val="24"/>
      <w:szCs w:val="20"/>
      <w:lang w:val="zh-CN"/>
    </w:rPr>
  </w:style>
  <w:style w:type="paragraph" w:styleId="5">
    <w:name w:val="heading 3"/>
    <w:basedOn w:val="1"/>
    <w:next w:val="1"/>
    <w:link w:val="27"/>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tLeast"/>
      <w:ind w:firstLine="420" w:firstLineChars="200"/>
      <w:jc w:val="left"/>
      <w:textAlignment w:val="baseline"/>
    </w:pPr>
    <w:rPr>
      <w:rFonts w:ascii="宋体" w:hAnsi="宋体"/>
    </w:rPr>
  </w:style>
  <w:style w:type="paragraph" w:styleId="3">
    <w:name w:val="Body Text Indent"/>
    <w:basedOn w:val="1"/>
    <w:unhideWhenUsed/>
    <w:qFormat/>
    <w:uiPriority w:val="0"/>
    <w:pPr>
      <w:spacing w:after="120"/>
      <w:ind w:left="420" w:leftChars="200"/>
    </w:pPr>
  </w:style>
  <w:style w:type="paragraph" w:styleId="6">
    <w:name w:val="annotation text"/>
    <w:basedOn w:val="1"/>
    <w:link w:val="39"/>
    <w:unhideWhenUsed/>
    <w:qFormat/>
    <w:uiPriority w:val="99"/>
    <w:pPr>
      <w:jc w:val="left"/>
    </w:pPr>
    <w:rPr>
      <w:rFonts w:asciiTheme="minorHAnsi" w:hAnsiTheme="minorHAnsi" w:eastAsiaTheme="minorEastAsia" w:cstheme="minorBidi"/>
    </w:rPr>
  </w:style>
  <w:style w:type="paragraph" w:styleId="7">
    <w:name w:val="Salutation"/>
    <w:basedOn w:val="1"/>
    <w:next w:val="1"/>
    <w:link w:val="38"/>
    <w:unhideWhenUsed/>
    <w:qFormat/>
    <w:uiPriority w:val="99"/>
    <w:rPr>
      <w:rFonts w:ascii="Times New Roman" w:hAnsi="Times New Roman" w:eastAsiaTheme="minorEastAsia" w:cstheme="minorBidi"/>
      <w:sz w:val="32"/>
      <w:szCs w:val="32"/>
    </w:rPr>
  </w:style>
  <w:style w:type="paragraph" w:styleId="8">
    <w:name w:val="Closing"/>
    <w:basedOn w:val="1"/>
    <w:link w:val="43"/>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41"/>
    <w:qFormat/>
    <w:uiPriority w:val="0"/>
    <w:rPr>
      <w:rFonts w:ascii="宋体" w:hAnsi="Courier New" w:eastAsiaTheme="minorEastAsia" w:cstheme="minorBidi"/>
    </w:rPr>
  </w:style>
  <w:style w:type="paragraph" w:styleId="11">
    <w:name w:val="Date"/>
    <w:basedOn w:val="1"/>
    <w:next w:val="1"/>
    <w:link w:val="42"/>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4"/>
    <w:unhideWhenUsed/>
    <w:qFormat/>
    <w:uiPriority w:val="99"/>
    <w:rPr>
      <w:rFonts w:asciiTheme="minorHAnsi" w:hAnsiTheme="minorHAnsi" w:eastAsiaTheme="minorEastAsia" w:cstheme="minorBidi"/>
      <w:sz w:val="16"/>
      <w:szCs w:val="16"/>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rFonts w:cs="Times New Roman"/>
      <w:kern w:val="0"/>
      <w:sz w:val="24"/>
    </w:rPr>
  </w:style>
  <w:style w:type="paragraph" w:styleId="17">
    <w:name w:val="annotation subject"/>
    <w:basedOn w:val="6"/>
    <w:next w:val="6"/>
    <w:link w:val="40"/>
    <w:unhideWhenUsed/>
    <w:qFormat/>
    <w:uiPriority w:val="99"/>
    <w:rPr>
      <w:b/>
      <w:bCs/>
    </w:rPr>
  </w:style>
  <w:style w:type="table" w:styleId="19">
    <w:name w:val="Table Grid"/>
    <w:basedOn w:val="1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FollowedHyperlink"/>
    <w:qFormat/>
    <w:uiPriority w:val="0"/>
    <w:rPr>
      <w:color w:val="800080"/>
      <w:u w:val="single"/>
    </w:rPr>
  </w:style>
  <w:style w:type="character" w:styleId="22">
    <w:name w:val="annotation reference"/>
    <w:basedOn w:val="20"/>
    <w:unhideWhenUsed/>
    <w:qFormat/>
    <w:uiPriority w:val="99"/>
    <w:rPr>
      <w:sz w:val="21"/>
      <w:szCs w:val="21"/>
    </w:rPr>
  </w:style>
  <w:style w:type="paragraph" w:customStyle="1" w:styleId="23">
    <w:name w:val="BodyText"/>
    <w:basedOn w:val="1"/>
    <w:qFormat/>
    <w:uiPriority w:val="0"/>
    <w:pPr>
      <w:spacing w:after="120"/>
    </w:pPr>
  </w:style>
  <w:style w:type="character" w:customStyle="1" w:styleId="24">
    <w:name w:val="页眉 Char"/>
    <w:basedOn w:val="20"/>
    <w:link w:val="14"/>
    <w:qFormat/>
    <w:uiPriority w:val="99"/>
    <w:rPr>
      <w:sz w:val="18"/>
      <w:szCs w:val="18"/>
    </w:rPr>
  </w:style>
  <w:style w:type="character" w:customStyle="1" w:styleId="25">
    <w:name w:val="页脚 Char"/>
    <w:basedOn w:val="20"/>
    <w:link w:val="13"/>
    <w:qFormat/>
    <w:uiPriority w:val="99"/>
    <w:rPr>
      <w:sz w:val="18"/>
      <w:szCs w:val="18"/>
    </w:rPr>
  </w:style>
  <w:style w:type="character" w:customStyle="1" w:styleId="26">
    <w:name w:val="标题 2 Char"/>
    <w:basedOn w:val="20"/>
    <w:link w:val="4"/>
    <w:qFormat/>
    <w:uiPriority w:val="0"/>
    <w:rPr>
      <w:rFonts w:ascii="宋体" w:hAnsi="宋体" w:eastAsia="宋体" w:cs="Times New Roman"/>
      <w:b/>
      <w:bCs/>
      <w:sz w:val="24"/>
      <w:szCs w:val="20"/>
      <w:lang w:val="zh-CN"/>
    </w:rPr>
  </w:style>
  <w:style w:type="character" w:customStyle="1" w:styleId="27">
    <w:name w:val="标题 3 Char"/>
    <w:basedOn w:val="20"/>
    <w:link w:val="5"/>
    <w:qFormat/>
    <w:uiPriority w:val="9"/>
    <w:rPr>
      <w:rFonts w:ascii="Calibri" w:hAnsi="Calibri" w:eastAsia="宋体" w:cs="Times New Roman"/>
      <w:b/>
      <w:bCs/>
      <w:sz w:val="32"/>
      <w:szCs w:val="32"/>
    </w:rPr>
  </w:style>
  <w:style w:type="character" w:customStyle="1" w:styleId="28">
    <w:name w:val="日期 Char"/>
    <w:basedOn w:val="20"/>
    <w:link w:val="11"/>
    <w:qFormat/>
    <w:uiPriority w:val="99"/>
  </w:style>
  <w:style w:type="character" w:customStyle="1" w:styleId="29">
    <w:name w:val="Plain Text Char1"/>
    <w:basedOn w:val="20"/>
    <w:semiHidden/>
    <w:qFormat/>
    <w:uiPriority w:val="99"/>
    <w:rPr>
      <w:rFonts w:ascii="宋体" w:hAnsi="Courier New" w:eastAsia="宋体" w:cs="Courier New"/>
      <w:szCs w:val="21"/>
    </w:rPr>
  </w:style>
  <w:style w:type="character" w:customStyle="1" w:styleId="30">
    <w:name w:val="批注文字 Char"/>
    <w:basedOn w:val="20"/>
    <w:link w:val="6"/>
    <w:qFormat/>
    <w:uiPriority w:val="99"/>
  </w:style>
  <w:style w:type="character" w:customStyle="1" w:styleId="31">
    <w:name w:val="称呼 Char"/>
    <w:basedOn w:val="20"/>
    <w:link w:val="7"/>
    <w:qFormat/>
    <w:uiPriority w:val="99"/>
    <w:rPr>
      <w:rFonts w:ascii="Times New Roman" w:hAnsi="Times New Roman"/>
      <w:sz w:val="32"/>
      <w:szCs w:val="32"/>
    </w:rPr>
  </w:style>
  <w:style w:type="character" w:customStyle="1" w:styleId="32">
    <w:name w:val="纯文本 Char"/>
    <w:link w:val="10"/>
    <w:qFormat/>
    <w:locked/>
    <w:uiPriority w:val="0"/>
    <w:rPr>
      <w:rFonts w:ascii="宋体" w:hAnsi="Courier New"/>
    </w:rPr>
  </w:style>
  <w:style w:type="character" w:customStyle="1" w:styleId="33">
    <w:name w:val="批注框文本 Char"/>
    <w:basedOn w:val="20"/>
    <w:link w:val="12"/>
    <w:qFormat/>
    <w:uiPriority w:val="99"/>
    <w:rPr>
      <w:sz w:val="16"/>
      <w:szCs w:val="16"/>
    </w:rPr>
  </w:style>
  <w:style w:type="character" w:customStyle="1" w:styleId="34">
    <w:name w:val="批注主题 Char"/>
    <w:basedOn w:val="30"/>
    <w:link w:val="17"/>
    <w:qFormat/>
    <w:uiPriority w:val="99"/>
    <w:rPr>
      <w:b/>
      <w:bCs/>
    </w:rPr>
  </w:style>
  <w:style w:type="character" w:customStyle="1" w:styleId="35">
    <w:name w:val="结束语 Char"/>
    <w:basedOn w:val="20"/>
    <w:link w:val="8"/>
    <w:qFormat/>
    <w:uiPriority w:val="99"/>
    <w:rPr>
      <w:rFonts w:ascii="Times New Roman" w:hAnsi="Times New Roman"/>
      <w:sz w:val="32"/>
      <w:szCs w:val="32"/>
    </w:rPr>
  </w:style>
  <w:style w:type="character" w:customStyle="1" w:styleId="36">
    <w:name w:val="样式 Char Char"/>
    <w:link w:val="37"/>
    <w:qFormat/>
    <w:uiPriority w:val="0"/>
    <w:rPr>
      <w:rFonts w:ascii="宋体" w:hAnsi="宋体"/>
      <w:sz w:val="24"/>
      <w:szCs w:val="24"/>
    </w:rPr>
  </w:style>
  <w:style w:type="paragraph" w:customStyle="1" w:styleId="37">
    <w:name w:val="样式"/>
    <w:link w:val="36"/>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8">
    <w:name w:val="称呼 Char1"/>
    <w:basedOn w:val="20"/>
    <w:link w:val="7"/>
    <w:semiHidden/>
    <w:qFormat/>
    <w:uiPriority w:val="99"/>
    <w:rPr>
      <w:rFonts w:ascii="Calibri" w:hAnsi="Calibri" w:eastAsia="宋体" w:cs="Times New Roman"/>
    </w:rPr>
  </w:style>
  <w:style w:type="character" w:customStyle="1" w:styleId="39">
    <w:name w:val="批注文字 Char1"/>
    <w:basedOn w:val="20"/>
    <w:link w:val="6"/>
    <w:semiHidden/>
    <w:qFormat/>
    <w:uiPriority w:val="99"/>
    <w:rPr>
      <w:rFonts w:ascii="Calibri" w:hAnsi="Calibri" w:eastAsia="宋体" w:cs="Times New Roman"/>
    </w:rPr>
  </w:style>
  <w:style w:type="character" w:customStyle="1" w:styleId="40">
    <w:name w:val="批注主题 Char1"/>
    <w:basedOn w:val="39"/>
    <w:link w:val="17"/>
    <w:semiHidden/>
    <w:qFormat/>
    <w:uiPriority w:val="99"/>
    <w:rPr>
      <w:b/>
      <w:bCs/>
    </w:rPr>
  </w:style>
  <w:style w:type="character" w:customStyle="1" w:styleId="41">
    <w:name w:val="纯文本 Char1"/>
    <w:basedOn w:val="20"/>
    <w:link w:val="10"/>
    <w:semiHidden/>
    <w:qFormat/>
    <w:uiPriority w:val="99"/>
    <w:rPr>
      <w:rFonts w:ascii="宋体" w:hAnsi="Courier New" w:eastAsia="宋体" w:cs="Courier New"/>
      <w:szCs w:val="21"/>
    </w:rPr>
  </w:style>
  <w:style w:type="character" w:customStyle="1" w:styleId="42">
    <w:name w:val="日期 Char1"/>
    <w:basedOn w:val="20"/>
    <w:link w:val="11"/>
    <w:semiHidden/>
    <w:qFormat/>
    <w:uiPriority w:val="99"/>
    <w:rPr>
      <w:rFonts w:ascii="Calibri" w:hAnsi="Calibri" w:eastAsia="宋体" w:cs="Times New Roman"/>
    </w:rPr>
  </w:style>
  <w:style w:type="character" w:customStyle="1" w:styleId="43">
    <w:name w:val="结束语 Char1"/>
    <w:basedOn w:val="20"/>
    <w:link w:val="8"/>
    <w:semiHidden/>
    <w:qFormat/>
    <w:uiPriority w:val="99"/>
    <w:rPr>
      <w:rFonts w:ascii="Calibri" w:hAnsi="Calibri" w:eastAsia="宋体" w:cs="Times New Roman"/>
    </w:rPr>
  </w:style>
  <w:style w:type="character" w:customStyle="1" w:styleId="44">
    <w:name w:val="批注框文本 Char1"/>
    <w:basedOn w:val="20"/>
    <w:link w:val="12"/>
    <w:semiHidden/>
    <w:qFormat/>
    <w:uiPriority w:val="99"/>
    <w:rPr>
      <w:rFonts w:ascii="Calibri" w:hAnsi="Calibri" w:eastAsia="宋体" w:cs="Times New Roman"/>
      <w:sz w:val="18"/>
      <w:szCs w:val="18"/>
    </w:rPr>
  </w:style>
  <w:style w:type="character" w:customStyle="1" w:styleId="45">
    <w:name w:val="页眉 Char1"/>
    <w:basedOn w:val="20"/>
    <w:semiHidden/>
    <w:qFormat/>
    <w:uiPriority w:val="99"/>
    <w:rPr>
      <w:kern w:val="2"/>
      <w:sz w:val="18"/>
      <w:szCs w:val="18"/>
    </w:rPr>
  </w:style>
  <w:style w:type="character" w:customStyle="1" w:styleId="46">
    <w:name w:val="页脚 Char1"/>
    <w:basedOn w:val="20"/>
    <w:semiHidden/>
    <w:qFormat/>
    <w:uiPriority w:val="99"/>
    <w:rPr>
      <w:kern w:val="2"/>
      <w:sz w:val="18"/>
      <w:szCs w:val="18"/>
    </w:rPr>
  </w:style>
  <w:style w:type="paragraph" w:styleId="47">
    <w:name w:val="List Paragraph"/>
    <w:basedOn w:val="1"/>
    <w:qFormat/>
    <w:uiPriority w:val="34"/>
    <w:pPr>
      <w:ind w:firstLine="420" w:firstLineChars="200"/>
    </w:pPr>
  </w:style>
  <w:style w:type="paragraph" w:customStyle="1" w:styleId="48">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9">
    <w:name w:val="CM3"/>
    <w:basedOn w:val="50"/>
    <w:next w:val="50"/>
    <w:qFormat/>
    <w:uiPriority w:val="99"/>
    <w:rPr>
      <w:rFonts w:cs="Times New Roman"/>
      <w:color w:val="auto"/>
    </w:rPr>
  </w:style>
  <w:style w:type="paragraph" w:customStyle="1" w:styleId="50">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51">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2">
    <w:name w:val="CM27"/>
    <w:basedOn w:val="50"/>
    <w:next w:val="50"/>
    <w:qFormat/>
    <w:uiPriority w:val="99"/>
    <w:rPr>
      <w:rFonts w:cs="Times New Roman"/>
      <w:color w:val="auto"/>
    </w:rPr>
  </w:style>
  <w:style w:type="paragraph" w:customStyle="1" w:styleId="53">
    <w:name w:val="修订1"/>
    <w:unhideWhenUsed/>
    <w:qFormat/>
    <w:uiPriority w:val="99"/>
    <w:rPr>
      <w:rFonts w:ascii="Calibri" w:hAnsi="Calibri" w:eastAsia="宋体" w:cs="Times New Roman"/>
      <w:kern w:val="2"/>
      <w:sz w:val="21"/>
      <w:szCs w:val="22"/>
      <w:lang w:val="en-US" w:eastAsia="zh-CN" w:bidi="ar-SA"/>
    </w:rPr>
  </w:style>
  <w:style w:type="paragraph" w:customStyle="1" w:styleId="54">
    <w:name w:val="CM30"/>
    <w:basedOn w:val="50"/>
    <w:next w:val="50"/>
    <w:qFormat/>
    <w:uiPriority w:val="99"/>
    <w:rPr>
      <w:rFonts w:cs="Times New Roman"/>
      <w:color w:val="auto"/>
    </w:rPr>
  </w:style>
  <w:style w:type="paragraph" w:customStyle="1" w:styleId="55">
    <w:name w:val="Table Paragraph"/>
    <w:basedOn w:val="1"/>
    <w:qFormat/>
    <w:uiPriority w:val="1"/>
    <w:rPr>
      <w:rFonts w:asciiTheme="minorHAnsi" w:hAnsiTheme="minorHAnsi" w:eastAsiaTheme="minorEastAsia" w:cstheme="minorBidi"/>
    </w:rPr>
  </w:style>
  <w:style w:type="paragraph" w:customStyle="1" w:styleId="56">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7">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43</TotalTime>
  <ScaleCrop>false</ScaleCrop>
  <LinksUpToDate>false</LinksUpToDate>
  <CharactersWithSpaces>7229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美喵喵</cp:lastModifiedBy>
  <cp:lastPrinted>2021-05-28T01:01:37Z</cp:lastPrinted>
  <dcterms:modified xsi:type="dcterms:W3CDTF">2021-05-28T01:32:38Z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D7003D5DDF2345438480C62ACA8C4AE8</vt:lpwstr>
  </property>
</Properties>
</file>