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val="en-US" w:eastAsia="zh-CN"/>
        </w:rPr>
        <w:t>2021年度国家发改委企业</w:t>
      </w:r>
      <w:r>
        <w:rPr>
          <w:rFonts w:hint="eastAsia" w:ascii="仿宋" w:hAnsi="仿宋" w:eastAsia="仿宋" w:cs="仿宋"/>
          <w:b/>
          <w:bCs w:val="0"/>
          <w:color w:val="05060A"/>
          <w:kern w:val="0"/>
          <w:sz w:val="36"/>
          <w:szCs w:val="36"/>
          <w:lang w:eastAsia="zh-CN"/>
        </w:rPr>
        <w:t>债券</w:t>
      </w:r>
      <w:r>
        <w:rPr>
          <w:rFonts w:hint="eastAsia" w:ascii="仿宋" w:hAnsi="仿宋" w:eastAsia="仿宋" w:cs="仿宋"/>
          <w:b/>
          <w:bCs w:val="0"/>
          <w:color w:val="05060A"/>
          <w:kern w:val="0"/>
          <w:sz w:val="36"/>
          <w:szCs w:val="36"/>
        </w:rPr>
        <w:t>发行</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sz w:val="30"/>
          <w:szCs w:val="30"/>
          <w:lang w:val="en-US" w:eastAsia="zh-CN"/>
        </w:rPr>
        <w:t>国家发改委</w:t>
      </w:r>
      <w:r>
        <w:rPr>
          <w:rFonts w:hint="eastAsia" w:ascii="仿宋" w:hAnsi="仿宋" w:eastAsia="仿宋"/>
          <w:sz w:val="30"/>
          <w:szCs w:val="30"/>
        </w:rPr>
        <w:t>申请发行不超过</w:t>
      </w:r>
      <w:r>
        <w:rPr>
          <w:rFonts w:hint="eastAsia" w:ascii="仿宋" w:hAnsi="仿宋" w:eastAsia="仿宋"/>
          <w:color w:val="000000" w:themeColor="text1"/>
          <w:sz w:val="30"/>
          <w:szCs w:val="30"/>
          <w:lang w:val="en-US" w:eastAsia="zh-CN"/>
          <w14:textFill>
            <w14:solidFill>
              <w14:schemeClr w14:val="tx1"/>
            </w14:solidFill>
          </w14:textFill>
        </w:rPr>
        <w:t>30</w:t>
      </w:r>
      <w:r>
        <w:rPr>
          <w:rFonts w:hint="eastAsia" w:ascii="仿宋" w:hAnsi="仿宋" w:eastAsia="仿宋"/>
          <w:color w:val="000000" w:themeColor="text1"/>
          <w:sz w:val="30"/>
          <w:szCs w:val="30"/>
          <w14:textFill>
            <w14:solidFill>
              <w14:schemeClr w14:val="tx1"/>
            </w14:solidFill>
          </w14:textFill>
        </w:rPr>
        <w:t>亿元</w:t>
      </w:r>
      <w:r>
        <w:rPr>
          <w:rFonts w:hint="eastAsia" w:ascii="仿宋" w:hAnsi="仿宋" w:eastAsia="仿宋"/>
          <w:sz w:val="30"/>
          <w:szCs w:val="30"/>
          <w:lang w:eastAsia="zh-CN"/>
        </w:rPr>
        <w:t>企业债券（以下简称“企业债券”）</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企业债券</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sz w:val="30"/>
          <w:szCs w:val="30"/>
          <w:lang w:eastAsia="zh-CN"/>
        </w:rPr>
        <w:t>企业债券</w:t>
      </w:r>
      <w:r>
        <w:rPr>
          <w:rFonts w:hint="eastAsia" w:ascii="仿宋" w:hAnsi="仿宋" w:eastAsia="仿宋" w:cs="仿宋_GB2312"/>
          <w:kern w:val="0"/>
          <w:sz w:val="30"/>
          <w:szCs w:val="30"/>
        </w:rPr>
        <w:t>发行主承销商项目。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根据招标人要求，完成招标人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eastAsia="zh-CN"/>
        </w:rPr>
        <w:t>企业债券</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30</w:t>
      </w:r>
      <w:r>
        <w:rPr>
          <w:rFonts w:hint="eastAsia" w:ascii="仿宋" w:hAnsi="仿宋" w:eastAsia="仿宋"/>
          <w:kern w:val="0"/>
          <w:sz w:val="32"/>
          <w:szCs w:val="32"/>
        </w:rPr>
        <w:t>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eastAsia"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w:t>
      </w:r>
      <w:r>
        <w:rPr>
          <w:rFonts w:hint="eastAsia" w:ascii="仿宋" w:hAnsi="仿宋" w:eastAsia="仿宋" w:cs="仿宋_GB2312"/>
          <w:kern w:val="0"/>
          <w:sz w:val="30"/>
          <w:szCs w:val="30"/>
          <w:lang w:val="en-US" w:eastAsia="zh-CN"/>
        </w:rPr>
        <w:t>低于5年</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最终期限以</w:t>
      </w:r>
      <w:r>
        <w:rPr>
          <w:rFonts w:hint="eastAsia" w:ascii="仿宋" w:hAnsi="仿宋" w:eastAsia="仿宋" w:cs="仿宋_GB2312"/>
          <w:kern w:val="0"/>
          <w:sz w:val="30"/>
          <w:szCs w:val="30"/>
          <w:lang w:eastAsia="zh-CN"/>
        </w:rPr>
        <w:t>国家发改委</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eastAsia="zh-CN"/>
        </w:rPr>
        <w:t>企业债券</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企业债券</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国家发改委</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w:t>
      </w:r>
      <w:r>
        <w:rPr>
          <w:rFonts w:hint="eastAsia" w:ascii="仿宋" w:hAnsi="仿宋" w:eastAsia="仿宋" w:cs="仿宋_GB2312"/>
          <w:kern w:val="0"/>
          <w:sz w:val="30"/>
          <w:szCs w:val="30"/>
        </w:rPr>
        <w:t>额包销。</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outlineLvl w:val="9"/>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9"/>
        <w:keepNext w:val="0"/>
        <w:keepLines w:val="0"/>
        <w:pageBreakBefore w:val="0"/>
        <w:widowControl w:val="0"/>
        <w:kinsoku/>
        <w:wordWrap/>
        <w:overflowPunct/>
        <w:topLinePunct w:val="0"/>
        <w:bidi w:val="0"/>
        <w:snapToGrid/>
        <w:spacing w:line="360" w:lineRule="auto"/>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（八）保证金：由中标机构按发行额度的万分之一向招标人缴纳保证金，如非招标人原因未按招标人发行利率、期限等要求完成申报及发行工作，保证金不予退还。</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outlineLvl w:val="9"/>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w:t>
      </w:r>
      <w:r>
        <w:rPr>
          <w:rFonts w:hint="eastAsia" w:ascii="仿宋" w:hAnsi="仿宋" w:eastAsia="仿宋" w:cs="仿宋"/>
          <w:color w:val="000000" w:themeColor="text1"/>
          <w:sz w:val="30"/>
          <w:szCs w:val="30"/>
          <w14:textFill>
            <w14:solidFill>
              <w14:schemeClr w14:val="tx1"/>
            </w14:solidFill>
          </w14:textFill>
        </w:rPr>
        <w:t>由固定</w:t>
      </w:r>
      <w:r>
        <w:rPr>
          <w:rFonts w:hint="eastAsia" w:ascii="仿宋" w:hAnsi="仿宋" w:eastAsia="仿宋" w:cs="仿宋"/>
          <w:color w:val="000000" w:themeColor="text1"/>
          <w:sz w:val="30"/>
          <w:szCs w:val="30"/>
          <w:lang w:eastAsia="zh-CN"/>
          <w14:textFill>
            <w14:solidFill>
              <w14:schemeClr w14:val="tx1"/>
            </w14:solidFill>
          </w14:textFill>
        </w:rPr>
        <w:t>承销费用</w:t>
      </w:r>
      <w:r>
        <w:rPr>
          <w:rFonts w:hint="eastAsia" w:ascii="仿宋" w:hAnsi="仿宋" w:eastAsia="仿宋" w:cs="仿宋"/>
          <w:color w:val="000000" w:themeColor="text1"/>
          <w:sz w:val="30"/>
          <w:szCs w:val="30"/>
          <w14:textFill>
            <w14:solidFill>
              <w14:schemeClr w14:val="tx1"/>
            </w14:solidFill>
          </w14:textFill>
        </w:rPr>
        <w:t>和</w:t>
      </w:r>
      <w:r>
        <w:rPr>
          <w:rFonts w:hint="eastAsia" w:ascii="仿宋" w:hAnsi="仿宋" w:eastAsia="仿宋" w:cs="仿宋"/>
          <w:color w:val="000000" w:themeColor="text1"/>
          <w:sz w:val="30"/>
          <w:szCs w:val="30"/>
          <w:lang w:eastAsia="zh-CN"/>
          <w14:textFill>
            <w14:solidFill>
              <w14:schemeClr w14:val="tx1"/>
            </w14:solidFill>
          </w14:textFill>
        </w:rPr>
        <w:t>激励奖罚费用</w:t>
      </w:r>
      <w:r>
        <w:rPr>
          <w:rFonts w:hint="eastAsia" w:ascii="仿宋" w:hAnsi="仿宋" w:eastAsia="仿宋" w:cs="仿宋"/>
          <w:color w:val="000000" w:themeColor="text1"/>
          <w:sz w:val="30"/>
          <w:szCs w:val="30"/>
          <w14:textFill>
            <w14:solidFill>
              <w14:schemeClr w14:val="tx1"/>
            </w14:solidFill>
          </w14:textFill>
        </w:rPr>
        <w:t>组成</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sz w:val="30"/>
          <w:szCs w:val="30"/>
        </w:rPr>
        <w:t>若</w:t>
      </w:r>
      <w:r>
        <w:rPr>
          <w:rFonts w:hint="eastAsia" w:ascii="仿宋" w:hAnsi="仿宋" w:eastAsia="仿宋" w:cs="仿宋"/>
          <w:sz w:val="30"/>
          <w:szCs w:val="30"/>
          <w:lang w:eastAsia="zh-CN"/>
        </w:rPr>
        <w:t>实际发行利率低于市场平均发行利率，在固定承销费用基础上予以奖励；若实际发行利率高于市场平均发行利率，</w:t>
      </w:r>
      <w:r>
        <w:rPr>
          <w:rFonts w:hint="eastAsia" w:ascii="仿宋" w:hAnsi="仿宋" w:eastAsia="仿宋" w:cs="仿宋"/>
          <w:sz w:val="30"/>
          <w:szCs w:val="30"/>
        </w:rPr>
        <w:t>从固定</w:t>
      </w:r>
      <w:r>
        <w:rPr>
          <w:rFonts w:hint="eastAsia" w:ascii="仿宋" w:hAnsi="仿宋" w:eastAsia="仿宋" w:cs="仿宋"/>
          <w:sz w:val="30"/>
          <w:szCs w:val="30"/>
          <w:lang w:eastAsia="zh-CN"/>
        </w:rPr>
        <w:t>承销费用中</w:t>
      </w:r>
      <w:r>
        <w:rPr>
          <w:rFonts w:hint="eastAsia" w:ascii="仿宋" w:hAnsi="仿宋" w:eastAsia="仿宋" w:cs="仿宋"/>
          <w:sz w:val="30"/>
          <w:szCs w:val="30"/>
        </w:rPr>
        <w:t>扣减，最多至</w:t>
      </w:r>
      <w:r>
        <w:rPr>
          <w:rFonts w:hint="eastAsia" w:ascii="仿宋" w:hAnsi="仿宋" w:eastAsia="仿宋" w:cs="仿宋"/>
          <w:sz w:val="30"/>
          <w:szCs w:val="30"/>
          <w:lang w:eastAsia="zh-CN"/>
        </w:rPr>
        <w:t>固定承销费用</w:t>
      </w:r>
      <w:r>
        <w:rPr>
          <w:rFonts w:hint="eastAsia" w:ascii="仿宋" w:hAnsi="仿宋" w:eastAsia="仿宋" w:cs="仿宋"/>
          <w:sz w:val="30"/>
          <w:szCs w:val="30"/>
        </w:rPr>
        <w:t>扣完为止</w:t>
      </w:r>
      <w:r>
        <w:rPr>
          <w:rFonts w:hint="eastAsia" w:ascii="仿宋" w:hAnsi="仿宋" w:eastAsia="仿宋" w:cs="仿宋"/>
          <w:sz w:val="30"/>
          <w:szCs w:val="30"/>
          <w:lang w:eastAsia="zh-CN"/>
        </w:rPr>
        <w:t>。</w:t>
      </w:r>
      <w:r>
        <w:rPr>
          <w:rFonts w:hint="eastAsia" w:ascii="仿宋" w:hAnsi="仿宋" w:eastAsia="仿宋" w:cs="仿宋"/>
          <w:color w:val="000000" w:themeColor="text1"/>
          <w:sz w:val="30"/>
          <w:szCs w:val="30"/>
          <w:lang w:eastAsia="zh-CN"/>
          <w14:textFill>
            <w14:solidFill>
              <w14:schemeClr w14:val="tx1"/>
            </w14:solidFill>
          </w14:textFill>
        </w:rPr>
        <w:t>即承销费用</w:t>
      </w:r>
      <w:r>
        <w:rPr>
          <w:rFonts w:hint="eastAsia" w:ascii="仿宋" w:hAnsi="仿宋" w:eastAsia="仿宋" w:cs="仿宋"/>
          <w:color w:val="000000" w:themeColor="text1"/>
          <w:sz w:val="30"/>
          <w:szCs w:val="30"/>
          <w:lang w:val="en-US" w:eastAsia="zh-CN"/>
          <w14:textFill>
            <w14:solidFill>
              <w14:schemeClr w14:val="tx1"/>
            </w14:solidFill>
          </w14:textFill>
        </w:rPr>
        <w:t>=固定承销费用±激励奖惩费用。</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r>
        <w:rPr>
          <w:rFonts w:hint="eastAsia" w:ascii="仿宋" w:hAnsi="仿宋" w:eastAsia="仿宋" w:cs="仿宋"/>
          <w:color w:val="000000" w:themeColor="text1"/>
          <w:sz w:val="30"/>
          <w:szCs w:val="30"/>
          <w14:textFill>
            <w14:solidFill>
              <w14:schemeClr w14:val="tx1"/>
            </w14:solidFill>
          </w14:textFill>
        </w:rPr>
        <w:t>；</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2、激励奖罚费用标准如下：</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债券发行利率低于市场平均利率时，按照发行利率低于市场平均利率节省的成本金额的百分之十给予奖励；债券发行利率低于4%（不含）时，在上述奖励基础上，按照利率低于4%部分节省的成本金额的百分之二十再给予奖励。</w:t>
      </w:r>
    </w:p>
    <w:p>
      <w:pPr>
        <w:ind w:firstLine="600" w:firstLineChars="200"/>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sz w:val="30"/>
          <w:szCs w:val="30"/>
          <w:lang w:val="en-US" w:eastAsia="zh-CN"/>
        </w:rPr>
        <w:t>（2）债券发行利率高于市场平均发行利率时，按照发行利率高于市场平均发行利率增加的成本金额的百分之十进行扣减；债券发行利率高于5%（不含）时，在上述扣减的基础上，按照利率高于5%部分增加的成本金额的百分之二十再进行扣减。</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）具有</w:t>
      </w:r>
      <w:r>
        <w:rPr>
          <w:rFonts w:hint="eastAsia" w:ascii="仿宋" w:hAnsi="仿宋" w:eastAsia="仿宋" w:cs="仿宋_GB2312"/>
          <w:color w:val="000000" w:themeColor="text1"/>
          <w:kern w:val="0"/>
          <w:sz w:val="30"/>
          <w:szCs w:val="30"/>
          <w:lang w:val="en-US" w:eastAsia="zh-CN"/>
          <w14:textFill>
            <w14:solidFill>
              <w14:schemeClr w14:val="tx1"/>
            </w14:solidFill>
          </w14:textFill>
        </w:rPr>
        <w:t>企业债</w:t>
      </w:r>
      <w:r>
        <w:rPr>
          <w:rFonts w:hint="eastAsia" w:ascii="仿宋" w:hAnsi="仿宋" w:eastAsia="仿宋" w:cs="仿宋_GB2312"/>
          <w:color w:val="000000" w:themeColor="text1"/>
          <w:kern w:val="0"/>
          <w:sz w:val="30"/>
          <w:szCs w:val="30"/>
          <w:lang w:eastAsia="zh-CN"/>
          <w14:textFill>
            <w14:solidFill>
              <w14:schemeClr w14:val="tx1"/>
            </w14:solidFill>
          </w14:textFill>
        </w:rPr>
        <w:t>承销资格的证券公司</w:t>
      </w:r>
      <w:r>
        <w:rPr>
          <w:rFonts w:hint="eastAsia" w:ascii="仿宋" w:hAnsi="仿宋" w:eastAsia="仿宋" w:cs="仿宋_GB2312"/>
          <w:color w:val="000000" w:themeColor="text1"/>
          <w:kern w:val="0"/>
          <w:sz w:val="30"/>
          <w:szCs w:val="30"/>
          <w14:textFill>
            <w14:solidFill>
              <w14:schemeClr w14:val="tx1"/>
            </w14:solidFill>
          </w14:textFill>
        </w:rPr>
        <w:t>，熟悉</w:t>
      </w:r>
      <w:r>
        <w:rPr>
          <w:rFonts w:hint="eastAsia" w:ascii="仿宋" w:hAnsi="仿宋" w:eastAsia="仿宋" w:cs="仿宋_GB2312"/>
          <w:color w:val="000000" w:themeColor="text1"/>
          <w:kern w:val="0"/>
          <w:sz w:val="30"/>
          <w:szCs w:val="30"/>
          <w:lang w:eastAsia="zh-CN"/>
          <w14:textFill>
            <w14:solidFill>
              <w14:schemeClr w14:val="tx1"/>
            </w14:solidFill>
          </w14:textFill>
        </w:rPr>
        <w:t>企业债券</w:t>
      </w:r>
      <w:r>
        <w:rPr>
          <w:rFonts w:hint="eastAsia" w:ascii="仿宋" w:hAnsi="仿宋" w:eastAsia="仿宋" w:cs="仿宋_GB2312"/>
          <w:color w:val="000000" w:themeColor="text1"/>
          <w:kern w:val="0"/>
          <w:sz w:val="30"/>
          <w:szCs w:val="30"/>
          <w14:textFill>
            <w14:solidFill>
              <w14:schemeClr w14:val="tx1"/>
            </w14:solidFill>
          </w14:textFill>
        </w:rPr>
        <w:t>发行程序</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22</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hint="eastAsia" w:ascii="仿宋" w:hAnsi="仿宋" w:eastAsia="仿宋" w:cs="仿宋_GB2312"/>
          <w:color w:val="111318"/>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8</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13</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2021年度第二批资本市场债券发行工作已由相关部门批准实施，具备招标条件，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企业债券</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企业债券</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7"/>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hint="eastAsia" w:ascii="仿宋" w:hAnsi="仿宋" w:eastAsia="仿宋" w:cs="仿宋_GB2312"/>
          <w:color w:val="13151A"/>
          <w:kern w:val="0"/>
          <w:sz w:val="30"/>
          <w:szCs w:val="30"/>
          <w:lang w:eastAsia="zh-CN"/>
        </w:rPr>
      </w:pPr>
      <w:r>
        <w:rPr>
          <w:rFonts w:hint="eastAsia" w:ascii="仿宋" w:hAnsi="仿宋" w:eastAsia="仿宋" w:cs="仿宋_GB2312"/>
          <w:color w:val="000000" w:themeColor="text1"/>
          <w:kern w:val="0"/>
          <w:sz w:val="30"/>
          <w:szCs w:val="30"/>
          <w14:textFill>
            <w14:solidFill>
              <w14:schemeClr w14:val="tx1"/>
            </w14:solidFill>
          </w14:textFill>
        </w:rPr>
        <w:t>(一)招标人设置的本招标项目</w:t>
      </w:r>
      <w:r>
        <w:rPr>
          <w:rFonts w:hint="eastAsia" w:ascii="仿宋" w:hAnsi="仿宋" w:eastAsia="仿宋" w:cs="仿宋_GB2312"/>
          <w:color w:val="000000" w:themeColor="text1"/>
          <w:kern w:val="0"/>
          <w:sz w:val="30"/>
          <w:szCs w:val="30"/>
          <w:lang w:val="en-US" w:eastAsia="zh-CN"/>
          <w14:textFill>
            <w14:solidFill>
              <w14:schemeClr w14:val="tx1"/>
            </w14:solidFill>
          </w14:textFill>
        </w:rPr>
        <w:t>一次性</w:t>
      </w:r>
      <w:r>
        <w:rPr>
          <w:rFonts w:hint="eastAsia" w:ascii="仿宋" w:hAnsi="仿宋" w:eastAsia="仿宋" w:cs="仿宋_GB2312"/>
          <w:color w:val="000000" w:themeColor="text1"/>
          <w:kern w:val="0"/>
          <w:sz w:val="30"/>
          <w:szCs w:val="30"/>
          <w14:textFill>
            <w14:solidFill>
              <w14:schemeClr w14:val="tx1"/>
            </w14:solidFill>
          </w14:textFill>
        </w:rPr>
        <w:t>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35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hint="eastAsia"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pStyle w:val="9"/>
        <w:numPr>
          <w:ilvl w:val="0"/>
          <w:numId w:val="0"/>
        </w:numPr>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3151A"/>
          <w:kern w:val="0"/>
          <w:sz w:val="30"/>
          <w:szCs w:val="30"/>
        </w:rPr>
        <w:t>(</w:t>
      </w:r>
      <w:r>
        <w:rPr>
          <w:rFonts w:hint="eastAsia" w:ascii="仿宋" w:hAnsi="仿宋" w:eastAsia="仿宋" w:cs="仿宋_GB2312"/>
          <w:color w:val="13151A"/>
          <w:kern w:val="0"/>
          <w:sz w:val="30"/>
          <w:szCs w:val="30"/>
          <w:lang w:eastAsia="zh-CN"/>
        </w:rPr>
        <w:t>四</w:t>
      </w:r>
      <w:r>
        <w:rPr>
          <w:rFonts w:hint="eastAsia" w:ascii="仿宋" w:hAnsi="仿宋" w:eastAsia="仿宋" w:cs="仿宋_GB2312"/>
          <w:color w:val="13151A"/>
          <w:kern w:val="0"/>
          <w:sz w:val="30"/>
          <w:szCs w:val="30"/>
        </w:rPr>
        <w:t>)</w:t>
      </w:r>
      <w:r>
        <w:rPr>
          <w:rFonts w:hint="eastAsia" w:ascii="仿宋" w:hAnsi="仿宋" w:eastAsia="仿宋" w:cs="仿宋"/>
          <w:sz w:val="30"/>
          <w:szCs w:val="30"/>
          <w:lang w:val="en-US" w:eastAsia="zh-CN"/>
        </w:rPr>
        <w:t>承销费奖惩政策随市场行情的变化调整，最终解释权归招标人。</w:t>
      </w:r>
    </w:p>
    <w:p>
      <w:pPr>
        <w:pStyle w:val="23"/>
      </w:pP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23"/>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pStyle w:val="23"/>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pStyle w:val="48"/>
        <w:pageBreakBefore/>
        <w:spacing w:line="360" w:lineRule="auto"/>
        <w:ind w:right="-210" w:rightChars="-100"/>
        <w:jc w:val="center"/>
      </w:pPr>
      <w:r>
        <w:rPr>
          <w:rFonts w:hint="eastAsia" w:ascii="Times New Roman" w:hAnsi="Times New Roman" w:eastAsia="宋体"/>
          <w:b/>
          <w:color w:val="020304"/>
          <w:sz w:val="44"/>
          <w:szCs w:val="44"/>
        </w:rPr>
        <w:t>详细评审表</w:t>
      </w:r>
    </w:p>
    <w:tbl>
      <w:tblPr>
        <w:tblStyle w:val="18"/>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分值构成</w:t>
            </w:r>
            <w:r>
              <w:rPr>
                <w:rFonts w:ascii="Times New Roman" w:hAnsi="Times New Roman"/>
                <w:color w:val="000000"/>
                <w:kern w:val="0"/>
                <w:szCs w:val="21"/>
              </w:rPr>
              <w:br w:type="textWrapping"/>
            </w:r>
            <w:r>
              <w:rPr>
                <w:rFonts w:ascii="Times New Roman" w:hAnsi="Times New Roman"/>
                <w:color w:val="000000"/>
                <w:kern w:val="0"/>
                <w:szCs w:val="21"/>
              </w:rPr>
              <w:t>（总分100分）</w:t>
            </w:r>
          </w:p>
        </w:tc>
        <w:tc>
          <w:tcPr>
            <w:tcW w:w="7044" w:type="dxa"/>
            <w:gridSpan w:val="2"/>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价格部分：</w:t>
            </w: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p>
            <w:pPr>
              <w:widowControl/>
              <w:jc w:val="center"/>
              <w:rPr>
                <w:rFonts w:ascii="Times New Roman" w:hAnsi="Times New Roman"/>
                <w:color w:val="000000"/>
                <w:kern w:val="0"/>
                <w:szCs w:val="21"/>
              </w:rPr>
            </w:pPr>
            <w:r>
              <w:rPr>
                <w:rFonts w:ascii="Times New Roman" w:hAnsi="Times New Roman"/>
                <w:color w:val="000000"/>
                <w:kern w:val="0"/>
                <w:szCs w:val="21"/>
              </w:rPr>
              <w:t>技术部分：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p>
            <w:pPr>
              <w:jc w:val="center"/>
              <w:rPr>
                <w:rFonts w:ascii="Times New Roman" w:hAnsi="Times New Roman"/>
                <w:color w:val="000000"/>
                <w:kern w:val="0"/>
                <w:szCs w:val="21"/>
              </w:rPr>
            </w:pPr>
            <w:r>
              <w:rPr>
                <w:rFonts w:ascii="Times New Roman" w:hAnsi="Times New Roman"/>
                <w:color w:val="000000"/>
                <w:kern w:val="0"/>
                <w:szCs w:val="21"/>
              </w:rPr>
              <w:t>商务部分：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（1） 价格部分（满分</w:t>
            </w:r>
            <w:r>
              <w:rPr>
                <w:rFonts w:hint="eastAsia" w:ascii="Times New Roman" w:hAnsi="Times New Roman"/>
                <w:b/>
                <w:bCs/>
                <w:color w:val="000000"/>
                <w:kern w:val="0"/>
                <w:szCs w:val="21"/>
                <w:lang w:val="en-US" w:eastAsia="zh-CN"/>
              </w:rPr>
              <w:t>10</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rPr>
                <w:rFonts w:ascii="Times New Roman" w:hAnsi="Times New Roman"/>
                <w:color w:val="000000"/>
                <w:kern w:val="0"/>
                <w:szCs w:val="21"/>
              </w:rPr>
            </w:pPr>
            <w:r>
              <w:rPr>
                <w:rFonts w:hint="eastAsia" w:ascii="Times New Roman" w:hAnsi="Times New Roman"/>
                <w:color w:val="000000"/>
                <w:kern w:val="0"/>
                <w:szCs w:val="21"/>
              </w:rPr>
              <w:t>价格部分</w:t>
            </w:r>
          </w:p>
        </w:tc>
        <w:tc>
          <w:tcPr>
            <w:tcW w:w="5954" w:type="dxa"/>
            <w:tcBorders>
              <w:tl2br w:val="nil"/>
              <w:tr2bl w:val="nil"/>
            </w:tcBorders>
            <w:vAlign w:val="center"/>
          </w:tcPr>
          <w:p>
            <w:pPr>
              <w:pStyle w:val="9"/>
              <w:rPr>
                <w:rFonts w:hint="eastAsia"/>
                <w:lang w:val="en-US" w:eastAsia="zh-CN"/>
              </w:rPr>
            </w:pPr>
            <w:r>
              <w:rPr>
                <w:rFonts w:hint="eastAsia"/>
                <w:lang w:eastAsia="zh-CN"/>
              </w:rPr>
              <w:t>该报价为上文</w:t>
            </w:r>
            <w:r>
              <w:rPr>
                <w:rFonts w:hint="eastAsia"/>
                <w:lang w:val="en-US" w:eastAsia="zh-CN"/>
              </w:rPr>
              <w:t>P2“一（九）”所述固定承销费用。</w:t>
            </w:r>
          </w:p>
          <w:p>
            <w:pPr>
              <w:pStyle w:val="9"/>
              <w:rPr>
                <w:rFonts w:ascii="Times New Roman" w:hAnsi="Times New Roman"/>
                <w:color w:val="000000"/>
                <w:kern w:val="0"/>
                <w:szCs w:val="21"/>
              </w:rPr>
            </w:pPr>
            <w:r>
              <w:t>本项目承销费用报价采用费率形式，承销费率为</w:t>
            </w:r>
            <w:r>
              <w:rPr>
                <w:rFonts w:hint="eastAsia"/>
              </w:rPr>
              <w:t>总</w:t>
            </w:r>
            <w:r>
              <w:t>承销费/债券本金，报价上限为</w:t>
            </w:r>
            <w:r>
              <w:rPr>
                <w:rFonts w:ascii="Times New Roman" w:hAnsi="Times New Roman"/>
              </w:rPr>
              <w:t>0.</w:t>
            </w:r>
            <w:r>
              <w:rPr>
                <w:rFonts w:hint="eastAsia" w:ascii="Times New Roman" w:hAnsi="Times New Roman"/>
                <w:lang w:val="en-US" w:eastAsia="zh-CN"/>
              </w:rPr>
              <w:t>35</w:t>
            </w:r>
            <w:r>
              <w:rPr>
                <w:rFonts w:ascii="Times New Roman" w:hAnsi="Times New Roman"/>
              </w:rPr>
              <w:t>%，</w:t>
            </w:r>
            <w:r>
              <w:rPr>
                <w:rFonts w:hint="eastAsia" w:ascii="宋体" w:hAnsi="宋体" w:eastAsia="宋体" w:cs="宋体"/>
                <w:color w:val="auto"/>
              </w:rPr>
              <w:t>超出</w:t>
            </w:r>
            <w:r>
              <w:rPr>
                <w:rFonts w:hint="eastAsia" w:ascii="宋体" w:hAnsi="宋体" w:cs="宋体"/>
                <w:color w:val="auto"/>
                <w:lang w:val="en-US" w:eastAsia="zh-CN"/>
              </w:rPr>
              <w:t>0.35</w:t>
            </w:r>
            <w:r>
              <w:rPr>
                <w:rFonts w:hint="eastAsia" w:ascii="宋体" w:hAnsi="宋体" w:eastAsia="宋体" w:cs="宋体"/>
                <w:color w:val="auto"/>
              </w:rPr>
              <w:t>%</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w:t>
            </w:r>
            <w:r>
              <w:rPr>
                <w:rFonts w:hint="eastAsia" w:ascii="宋体" w:hAnsi="宋体" w:cs="宋体"/>
                <w:color w:val="auto"/>
                <w:lang w:val="en-US" w:eastAsia="zh-CN"/>
              </w:rPr>
              <w:t>0.35</w:t>
            </w:r>
            <w:r>
              <w:rPr>
                <w:rFonts w:hint="eastAsia" w:ascii="宋体" w:hAnsi="宋体" w:eastAsia="宋体" w:cs="宋体"/>
                <w:color w:val="auto"/>
              </w:rPr>
              <w:t>%时，得分为0分</w:t>
            </w:r>
            <w:r>
              <w:rPr>
                <w:rFonts w:hint="eastAsia" w:ascii="宋体" w:hAnsi="宋体" w:cs="宋体"/>
                <w:color w:val="auto"/>
                <w:lang w:eastAsia="zh-CN"/>
              </w:rPr>
              <w:t>；</w:t>
            </w:r>
            <w:r>
              <w:rPr>
                <w:rFonts w:hint="eastAsia" w:ascii="宋体" w:hAnsi="宋体" w:eastAsia="宋体" w:cs="宋体"/>
                <w:color w:val="auto"/>
              </w:rPr>
              <w:t>每减少0.0</w:t>
            </w:r>
            <w:r>
              <w:rPr>
                <w:rFonts w:hint="eastAsia" w:ascii="宋体" w:hAnsi="宋体" w:cs="宋体"/>
                <w:color w:val="auto"/>
                <w:lang w:val="en-US" w:eastAsia="zh-CN"/>
              </w:rPr>
              <w:t>1</w:t>
            </w:r>
            <w:r>
              <w:rPr>
                <w:rFonts w:hint="eastAsia" w:ascii="宋体" w:hAnsi="宋体" w:eastAsia="宋体" w:cs="宋体"/>
                <w:color w:val="auto"/>
              </w:rPr>
              <w:t>%，</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（2）技术部分（满分</w:t>
            </w:r>
            <w:r>
              <w:rPr>
                <w:rFonts w:hint="eastAsia" w:ascii="Times New Roman" w:hAnsi="Times New Roman"/>
                <w:b/>
                <w:bCs/>
                <w:color w:val="000000"/>
                <w:kern w:val="0"/>
                <w:szCs w:val="21"/>
                <w:lang w:val="en-US" w:eastAsia="zh-CN"/>
              </w:rPr>
              <w:t>45</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eastAsia="zh-CN"/>
              </w:rPr>
              <w:t>承销方案</w:t>
            </w:r>
            <w:r>
              <w:rPr>
                <w:rFonts w:ascii="Times New Roman" w:hAnsi="Times New Roman"/>
                <w:color w:val="000000"/>
                <w:kern w:val="0"/>
                <w:szCs w:val="21"/>
              </w:rPr>
              <w:t xml:space="preserve">   </w:t>
            </w:r>
          </w:p>
        </w:tc>
        <w:tc>
          <w:tcPr>
            <w:tcW w:w="5954" w:type="dxa"/>
            <w:tcBorders>
              <w:tl2br w:val="nil"/>
              <w:tr2bl w:val="nil"/>
            </w:tcBorders>
            <w:vAlign w:val="center"/>
          </w:tcPr>
          <w:p>
            <w:pPr>
              <w:pStyle w:val="9"/>
              <w:rPr>
                <w:rFonts w:ascii="Times New Roman" w:hAnsi="Times New Roman"/>
              </w:rPr>
            </w:pPr>
            <w:r>
              <w:rPr>
                <w:rFonts w:ascii="Times New Roman" w:hAnsi="Times New Roman"/>
              </w:rPr>
              <w:t>投标人设计的发行方案是否完善、合理。</w:t>
            </w:r>
            <w:r>
              <w:rPr>
                <w:rFonts w:hint="eastAsia" w:ascii="Times New Roman" w:hAnsi="Times New Roman"/>
                <w:lang w:eastAsia="zh-CN"/>
              </w:rPr>
              <w:t>包括但不限于以下要素</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1</w:t>
            </w:r>
            <w:r>
              <w:rPr>
                <w:rFonts w:ascii="Times New Roman" w:hAnsi="Times New Roman"/>
              </w:rPr>
              <w:t>、项目需重点关注问题及解决方案；</w:t>
            </w:r>
          </w:p>
          <w:p>
            <w:pPr>
              <w:pStyle w:val="9"/>
              <w:rPr>
                <w:rFonts w:ascii="Times New Roman" w:hAnsi="Times New Roman"/>
              </w:rPr>
            </w:pPr>
            <w:r>
              <w:rPr>
                <w:rFonts w:hint="eastAsia" w:ascii="Times New Roman" w:hAnsi="Times New Roman"/>
                <w:lang w:val="en-US" w:eastAsia="zh-CN"/>
              </w:rPr>
              <w:t>2</w:t>
            </w:r>
            <w:r>
              <w:rPr>
                <w:rFonts w:ascii="Times New Roman" w:hAnsi="Times New Roman"/>
              </w:rPr>
              <w:t>、</w:t>
            </w:r>
            <w:r>
              <w:rPr>
                <w:rFonts w:hint="eastAsia" w:ascii="Times New Roman" w:hAnsi="Times New Roman"/>
                <w:lang w:eastAsia="zh-CN"/>
              </w:rPr>
              <w:t>保障发行的措施</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3</w:t>
            </w:r>
            <w:r>
              <w:rPr>
                <w:rFonts w:ascii="Times New Roman" w:hAnsi="Times New Roman"/>
              </w:rPr>
              <w:t>、</w:t>
            </w:r>
            <w:r>
              <w:rPr>
                <w:rFonts w:hint="eastAsia" w:ascii="Times New Roman" w:hAnsi="Times New Roman"/>
                <w:lang w:eastAsia="zh-CN"/>
              </w:rPr>
              <w:t>如何提高项目注册效率</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4</w:t>
            </w:r>
            <w:r>
              <w:rPr>
                <w:rFonts w:ascii="Times New Roman" w:hAnsi="Times New Roman"/>
              </w:rPr>
              <w:t>、</w:t>
            </w:r>
            <w:r>
              <w:rPr>
                <w:rFonts w:hint="eastAsia" w:ascii="Times New Roman" w:hAnsi="Times New Roman"/>
                <w:lang w:eastAsia="zh-CN"/>
              </w:rPr>
              <w:t>降低发行成本的建议</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5</w:t>
            </w:r>
            <w:r>
              <w:rPr>
                <w:rFonts w:ascii="Times New Roman" w:hAnsi="Times New Roman"/>
              </w:rPr>
              <w:t>、项目进度时间安排；</w:t>
            </w:r>
          </w:p>
          <w:p>
            <w:pPr>
              <w:pStyle w:val="9"/>
              <w:rPr>
                <w:rFonts w:ascii="Times New Roman" w:hAnsi="Times New Roman"/>
              </w:rPr>
            </w:pPr>
            <w:r>
              <w:rPr>
                <w:rFonts w:hint="eastAsia" w:ascii="Times New Roman" w:hAnsi="Times New Roman"/>
                <w:lang w:val="en-US" w:eastAsia="zh-CN"/>
              </w:rPr>
              <w:t>6</w:t>
            </w:r>
            <w:r>
              <w:rPr>
                <w:rFonts w:ascii="Times New Roman" w:hAnsi="Times New Roman"/>
              </w:rPr>
              <w:t>、</w:t>
            </w:r>
            <w:r>
              <w:rPr>
                <w:rFonts w:hint="eastAsia" w:ascii="Times New Roman" w:hAnsi="Times New Roman"/>
                <w:lang w:eastAsia="zh-CN"/>
              </w:rPr>
              <w:t>投标人的优势</w:t>
            </w:r>
            <w:r>
              <w:rPr>
                <w:rFonts w:ascii="Times New Roman" w:hAnsi="Times New Roman"/>
              </w:rPr>
              <w:t>；</w:t>
            </w:r>
          </w:p>
          <w:p>
            <w:pPr>
              <w:pStyle w:val="9"/>
              <w:rPr>
                <w:rFonts w:ascii="Times New Roman" w:hAnsi="Times New Roman"/>
              </w:rPr>
            </w:pPr>
            <w:r>
              <w:rPr>
                <w:rFonts w:hint="eastAsia" w:ascii="Times New Roman" w:hAnsi="Times New Roman"/>
                <w:lang w:val="en-US" w:eastAsia="zh-CN"/>
              </w:rPr>
              <w:t>7</w:t>
            </w:r>
            <w:r>
              <w:rPr>
                <w:rFonts w:ascii="Times New Roman" w:hAnsi="Times New Roman"/>
              </w:rPr>
              <w:t>、债券存续期服务安排；</w:t>
            </w:r>
          </w:p>
          <w:p>
            <w:pPr>
              <w:pStyle w:val="9"/>
              <w:rPr>
                <w:rFonts w:ascii="Times New Roman" w:hAnsi="Times New Roman"/>
              </w:rPr>
            </w:pPr>
            <w:r>
              <w:rPr>
                <w:rFonts w:hint="eastAsia" w:ascii="Times New Roman" w:hAnsi="Times New Roman"/>
                <w:lang w:val="en-US" w:eastAsia="zh-CN"/>
              </w:rPr>
              <w:t>8</w:t>
            </w:r>
            <w:r>
              <w:rPr>
                <w:rFonts w:ascii="Times New Roman" w:hAnsi="Times New Roman"/>
              </w:rPr>
              <w:t>、</w:t>
            </w:r>
            <w:r>
              <w:rPr>
                <w:rFonts w:hint="eastAsia" w:ascii="Times New Roman" w:hAnsi="Times New Roman"/>
                <w:lang w:eastAsia="zh-CN"/>
              </w:rPr>
              <w:t>其他服务性承诺</w:t>
            </w:r>
            <w:r>
              <w:rPr>
                <w:rFonts w:ascii="Times New Roman" w:hAnsi="Times New Roman"/>
              </w:rPr>
              <w:t>。</w:t>
            </w:r>
          </w:p>
          <w:p>
            <w:pPr>
              <w:widowControl/>
              <w:jc w:val="left"/>
              <w:rPr>
                <w:rFonts w:hint="eastAsia" w:ascii="Times New Roman" w:hAnsi="Times New Roman" w:eastAsia="宋体"/>
                <w:color w:val="000000"/>
                <w:kern w:val="0"/>
                <w:szCs w:val="21"/>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25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注册审批完成</w:t>
            </w:r>
            <w:r>
              <w:rPr>
                <w:rFonts w:ascii="Times New Roman" w:hAnsi="Times New Roman"/>
                <w:color w:val="000000"/>
                <w:kern w:val="0"/>
                <w:szCs w:val="21"/>
              </w:rP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w:t>
            </w:r>
          </w:p>
          <w:p>
            <w:pPr>
              <w:widowControl/>
              <w:spacing w:line="360" w:lineRule="exact"/>
              <w:jc w:val="left"/>
              <w:rPr>
                <w:rFonts w:ascii="Times New Roman" w:hAnsi="Times New Roman"/>
                <w:color w:val="000000"/>
                <w:kern w:val="0"/>
                <w:szCs w:val="21"/>
              </w:rPr>
            </w:pPr>
            <w:r>
              <w:rPr>
                <w:rFonts w:hint="eastAsia" w:ascii="Times New Roman" w:hAnsi="Times New Roman"/>
                <w:color w:val="000000"/>
                <w:kern w:val="0"/>
                <w:szCs w:val="21"/>
                <w:lang w:val="en-US" w:eastAsia="zh-CN"/>
              </w:rPr>
              <w:t>2个月内得10分，2个月以上</w:t>
            </w:r>
            <w:r>
              <w:rPr>
                <w:rFonts w:ascii="Times New Roman" w:hAnsi="Times New Roman"/>
                <w:color w:val="000000"/>
                <w:kern w:val="0"/>
                <w:szCs w:val="21"/>
              </w:rPr>
              <w:t>不得分。</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rPr>
                <w:rFonts w:ascii="Times New Roman" w:hAnsi="Times New Roman"/>
                <w:color w:val="000000"/>
                <w:kern w:val="0"/>
                <w:szCs w:val="21"/>
              </w:rPr>
            </w:pPr>
            <w:r>
              <w:rPr>
                <w:rFonts w:ascii="Times New Roman" w:hAnsi="Times New Roman"/>
                <w:color w:val="000000"/>
                <w:kern w:val="0"/>
                <w:szCs w:val="21"/>
              </w:rPr>
              <w:t>存续期服务承诺及意外风险应变等</w:t>
            </w:r>
          </w:p>
        </w:tc>
        <w:tc>
          <w:tcPr>
            <w:tcW w:w="5954" w:type="dxa"/>
            <w:tcBorders>
              <w:tl2br w:val="nil"/>
              <w:tr2bl w:val="nil"/>
            </w:tcBorders>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存续期服务承诺是否完善</w:t>
            </w:r>
            <w:r>
              <w:rPr>
                <w:rFonts w:hint="eastAsia" w:ascii="Times New Roman" w:hAnsi="Times New Roman"/>
                <w:color w:val="000000"/>
                <w:kern w:val="0"/>
                <w:szCs w:val="21"/>
              </w:rPr>
              <w:t>、</w:t>
            </w:r>
            <w:r>
              <w:rPr>
                <w:rFonts w:ascii="Times New Roman" w:hAnsi="Times New Roman"/>
                <w:color w:val="000000"/>
                <w:kern w:val="0"/>
                <w:szCs w:val="21"/>
              </w:rPr>
              <w:t>合理</w:t>
            </w:r>
            <w:r>
              <w:rPr>
                <w:rFonts w:hint="eastAsia" w:ascii="Times New Roman" w:hAnsi="Times New Roman"/>
                <w:color w:val="000000"/>
                <w:kern w:val="0"/>
                <w:szCs w:val="21"/>
              </w:rPr>
              <w:t>，对意外风险应变措施强、应急方案完善、可行性强的，</w:t>
            </w:r>
            <w:r>
              <w:rPr>
                <w:rFonts w:hint="eastAsia"/>
                <w:lang w:eastAsia="zh-CN"/>
              </w:rPr>
              <w:t>有得</w:t>
            </w:r>
            <w:r>
              <w:rPr>
                <w:rFonts w:hint="eastAsia"/>
                <w:lang w:val="en-US" w:eastAsia="zh-CN"/>
              </w:rPr>
              <w:t>5</w:t>
            </w:r>
            <w:r>
              <w:t>分</w:t>
            </w:r>
            <w:r>
              <w:rPr>
                <w:rFonts w:hint="eastAsia"/>
                <w:lang w:eastAsia="zh-CN"/>
              </w:rPr>
              <w:t>，</w:t>
            </w:r>
            <w:r>
              <w:rPr>
                <w:rFonts w:ascii="Times New Roman" w:hAnsi="Times New Roman"/>
                <w:color w:val="000000"/>
                <w:kern w:val="0"/>
                <w:szCs w:val="21"/>
              </w:rPr>
              <w:t>缺项不得分。缺项不得分。评审内容主要包括但不仅限于：存续期服务承诺以及意外风险应变、备选方案等。</w:t>
            </w:r>
          </w:p>
        </w:tc>
        <w:tc>
          <w:tcPr>
            <w:tcW w:w="1090" w:type="dxa"/>
            <w:tcBorders>
              <w:tl2br w:val="nil"/>
              <w:tr2bl w:val="nil"/>
            </w:tcBorders>
            <w:vAlign w:val="center"/>
          </w:tcPr>
          <w:p>
            <w:pPr>
              <w:widowControl/>
              <w:jc w:val="center"/>
              <w:rPr>
                <w:rFonts w:ascii="Times New Roman" w:hAnsi="Times New Roman"/>
                <w:color w:val="auto"/>
                <w:kern w:val="0"/>
                <w:szCs w:val="21"/>
              </w:rPr>
            </w:pPr>
            <w:r>
              <w:rPr>
                <w:rFonts w:hint="eastAsia" w:ascii="Times New Roman" w:hAnsi="Times New Roman"/>
                <w:color w:val="auto"/>
                <w:kern w:val="0"/>
                <w:szCs w:val="21"/>
                <w:lang w:val="en-US" w:eastAsia="zh-CN"/>
              </w:rPr>
              <w:t>5</w:t>
            </w:r>
            <w:r>
              <w:rPr>
                <w:rFonts w:hint="eastAsia" w:ascii="Times New Roman" w:hAnsi="Times New Roman"/>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余额包销</w:t>
            </w:r>
          </w:p>
        </w:tc>
        <w:tc>
          <w:tcPr>
            <w:tcW w:w="5954" w:type="dxa"/>
            <w:tcBorders>
              <w:tl2br w:val="nil"/>
              <w:tr2bl w:val="nil"/>
            </w:tcBorders>
            <w:vAlign w:val="center"/>
          </w:tcPr>
          <w:p>
            <w:pPr>
              <w:widowControl/>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eastAsia="zh-CN"/>
              </w:rPr>
              <w:t>承诺余额包销得</w:t>
            </w:r>
            <w:r>
              <w:rPr>
                <w:rFonts w:hint="eastAsia" w:ascii="Times New Roman" w:hAnsi="Times New Roman"/>
                <w:color w:val="000000"/>
                <w:kern w:val="0"/>
                <w:szCs w:val="21"/>
                <w:lang w:val="en-US" w:eastAsia="zh-CN"/>
              </w:rPr>
              <w:t>5分，否则不得分。</w:t>
            </w:r>
          </w:p>
        </w:tc>
        <w:tc>
          <w:tcPr>
            <w:tcW w:w="1090" w:type="dxa"/>
            <w:tcBorders>
              <w:tl2br w:val="nil"/>
              <w:tr2bl w:val="nil"/>
            </w:tcBorders>
            <w:vAlign w:val="center"/>
          </w:tcPr>
          <w:p>
            <w:pPr>
              <w:widowControl/>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5分</w:t>
            </w:r>
          </w:p>
        </w:tc>
      </w:tr>
    </w:tbl>
    <w:p/>
    <w:tbl>
      <w:tblPr>
        <w:tblStyle w:val="18"/>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930" w:type="dxa"/>
            <w:gridSpan w:val="3"/>
            <w:tcBorders>
              <w:tl2br w:val="nil"/>
              <w:tr2bl w:val="nil"/>
            </w:tcBorders>
            <w:vAlign w:val="center"/>
          </w:tcPr>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pStyle w:val="23"/>
              <w:numPr>
                <w:ilvl w:val="0"/>
                <w:numId w:val="0"/>
              </w:numPr>
              <w:rPr>
                <w:rFonts w:hint="default" w:eastAsia="宋体"/>
                <w:lang w:val="en-US" w:eastAsia="zh-CN"/>
              </w:rPr>
            </w:pPr>
            <w:r>
              <w:rPr>
                <w:rFonts w:hint="eastAsia"/>
                <w:lang w:val="en-US" w:eastAsia="zh-CN"/>
              </w:rPr>
              <w:t xml:space="preserve">                                                                  </w:t>
            </w:r>
            <w:r>
              <w:rPr>
                <w:rFonts w:hint="eastAsia"/>
                <w:b/>
                <w:bCs/>
                <w:lang w:val="en-US" w:eastAsia="zh-CN"/>
              </w:rPr>
              <w:t xml:space="preserve">  单位：亿元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86"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综合实力</w:t>
            </w:r>
          </w:p>
        </w:tc>
        <w:tc>
          <w:tcPr>
            <w:tcW w:w="5954" w:type="dxa"/>
            <w:tcBorders>
              <w:tl2br w:val="nil"/>
              <w:tr2bl w:val="nil"/>
            </w:tcBorders>
            <w:vAlign w:val="center"/>
          </w:tcPr>
          <w:p>
            <w:pPr>
              <w:pStyle w:val="9"/>
              <w:widowControl/>
              <w:jc w:val="left"/>
              <w:rPr>
                <w:rFonts w:hint="eastAsia" w:ascii="Times New Roman" w:hAnsi="Times New Roman"/>
              </w:rPr>
            </w:pPr>
            <w:r>
              <w:rPr>
                <w:rFonts w:hint="eastAsia" w:ascii="Times New Roman" w:hAnsi="Times New Roman"/>
              </w:rPr>
              <w:t>根据国家发展改革委</w:t>
            </w:r>
            <w:r>
              <w:rPr>
                <w:rFonts w:hint="eastAsia" w:ascii="Times New Roman" w:hAnsi="Times New Roman"/>
                <w:lang w:val="en-US" w:eastAsia="zh-CN"/>
              </w:rPr>
              <w:t>2020年12月31日</w:t>
            </w:r>
            <w:r>
              <w:rPr>
                <w:rFonts w:hint="eastAsia" w:ascii="Times New Roman" w:hAnsi="Times New Roman"/>
              </w:rPr>
              <w:t>发布的2019年度信用评价结果，90分</w:t>
            </w:r>
            <w:r>
              <w:rPr>
                <w:rFonts w:hint="eastAsia" w:ascii="Times New Roman" w:hAnsi="Times New Roman"/>
                <w:lang w:eastAsia="zh-CN"/>
              </w:rPr>
              <w:t>（含）</w:t>
            </w:r>
            <w:r>
              <w:rPr>
                <w:rFonts w:hint="eastAsia" w:ascii="Times New Roman" w:hAnsi="Times New Roman"/>
              </w:rPr>
              <w:t>及以上得</w:t>
            </w:r>
            <w:r>
              <w:rPr>
                <w:rFonts w:hint="eastAsia" w:ascii="Times New Roman" w:hAnsi="Times New Roman"/>
                <w:lang w:val="en-US" w:eastAsia="zh-CN"/>
              </w:rPr>
              <w:t>10</w:t>
            </w:r>
            <w:r>
              <w:rPr>
                <w:rFonts w:hint="eastAsia" w:ascii="Times New Roman" w:hAnsi="Times New Roman"/>
              </w:rPr>
              <w:t>分，85</w:t>
            </w:r>
            <w:r>
              <w:rPr>
                <w:rFonts w:hint="eastAsia" w:ascii="Times New Roman" w:hAnsi="Times New Roman"/>
                <w:lang w:eastAsia="zh-CN"/>
              </w:rPr>
              <w:t>（含）—</w:t>
            </w:r>
            <w:r>
              <w:rPr>
                <w:rFonts w:hint="eastAsia" w:ascii="Times New Roman" w:hAnsi="Times New Roman"/>
              </w:rPr>
              <w:t>90分得</w:t>
            </w:r>
            <w:r>
              <w:rPr>
                <w:rFonts w:hint="eastAsia" w:ascii="Times New Roman" w:hAnsi="Times New Roman"/>
                <w:lang w:val="en-US" w:eastAsia="zh-CN"/>
              </w:rPr>
              <w:t>6</w:t>
            </w:r>
            <w:r>
              <w:rPr>
                <w:rFonts w:hint="eastAsia" w:ascii="Times New Roman" w:hAnsi="Times New Roman"/>
              </w:rPr>
              <w:t>分，80</w:t>
            </w:r>
            <w:r>
              <w:rPr>
                <w:rFonts w:hint="eastAsia" w:ascii="Times New Roman" w:hAnsi="Times New Roman"/>
                <w:lang w:eastAsia="zh-CN"/>
              </w:rPr>
              <w:t>（含）</w:t>
            </w:r>
            <w:bookmarkStart w:id="0" w:name="_GoBack"/>
            <w:bookmarkEnd w:id="0"/>
            <w:r>
              <w:rPr>
                <w:rFonts w:hint="eastAsia" w:ascii="Times New Roman" w:hAnsi="Times New Roman"/>
                <w:lang w:eastAsia="zh-CN"/>
              </w:rPr>
              <w:t>—</w:t>
            </w:r>
            <w:r>
              <w:rPr>
                <w:rFonts w:hint="eastAsia" w:ascii="Times New Roman" w:hAnsi="Times New Roman"/>
              </w:rPr>
              <w:t>85分得</w:t>
            </w:r>
            <w:r>
              <w:rPr>
                <w:rFonts w:hint="eastAsia" w:ascii="Times New Roman" w:hAnsi="Times New Roman"/>
                <w:lang w:val="en-US" w:eastAsia="zh-CN"/>
              </w:rPr>
              <w:t>3</w:t>
            </w:r>
            <w:r>
              <w:rPr>
                <w:rFonts w:hint="eastAsia" w:ascii="Times New Roman" w:hAnsi="Times New Roman"/>
              </w:rPr>
              <w:t>分，80分以下不得分。</w:t>
            </w:r>
          </w:p>
          <w:p>
            <w:pPr>
              <w:pStyle w:val="9"/>
              <w:widowControl/>
              <w:jc w:val="left"/>
              <w:rPr>
                <w:rFonts w:ascii="Times New Roman" w:hAnsi="Times New Roman"/>
                <w:color w:val="000000"/>
                <w:kern w:val="0"/>
                <w:szCs w:val="21"/>
              </w:rPr>
            </w:pPr>
            <w:r>
              <w:rPr>
                <w:rFonts w:hint="eastAsia" w:ascii="Times New Roman" w:hAnsi="Times New Roman"/>
                <w:lang w:eastAsia="zh-CN"/>
              </w:rPr>
              <w:t>（</w:t>
            </w:r>
            <w:r>
              <w:rPr>
                <w:rFonts w:hint="eastAsia" w:ascii="Times New Roman" w:hAnsi="Times New Roman"/>
                <w:lang w:val="en-US" w:eastAsia="zh-CN"/>
              </w:rPr>
              <w:t>以《国家发展改革委办公厅关于公布2019年度企业债券主承销商和信用评级机构信用评价结果的通知》为准</w:t>
            </w:r>
            <w:r>
              <w:rPr>
                <w:rFonts w:hint="eastAsia" w:ascii="Times New Roman" w:hAnsi="Times New Roman"/>
                <w:lang w:eastAsia="zh-CN"/>
              </w:rPr>
              <w:t>）</w:t>
            </w:r>
          </w:p>
        </w:tc>
        <w:tc>
          <w:tcPr>
            <w:tcW w:w="1090"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86" w:type="dxa"/>
            <w:tcBorders>
              <w:tl2br w:val="nil"/>
              <w:tr2bl w:val="nil"/>
            </w:tcBorders>
            <w:vAlign w:val="center"/>
          </w:tcPr>
          <w:p>
            <w:pPr>
              <w:pStyle w:val="50"/>
              <w:jc w:val="center"/>
              <w:rPr>
                <w:rFonts w:hint="eastAsia" w:ascii="Times New Roman" w:hAnsi="Times New Roman" w:eastAsia="宋体"/>
                <w:color w:val="000000"/>
                <w:kern w:val="0"/>
                <w:szCs w:val="21"/>
                <w:lang w:eastAsia="zh-CN"/>
              </w:rPr>
            </w:pPr>
            <w:r>
              <w:rPr>
                <w:rFonts w:hint="eastAsia" w:ascii="宋体" w:hAnsi="宋体" w:eastAsia="宋体" w:cs="宋体"/>
                <w:color w:val="auto"/>
                <w:sz w:val="21"/>
                <w:szCs w:val="21"/>
                <w:lang w:val="en-US" w:eastAsia="zh-CN"/>
              </w:rPr>
              <w:t>承销业绩</w:t>
            </w:r>
          </w:p>
        </w:tc>
        <w:tc>
          <w:tcPr>
            <w:tcW w:w="5954" w:type="dxa"/>
            <w:tcBorders>
              <w:tl2br w:val="nil"/>
              <w:tr2bl w:val="nil"/>
            </w:tcBorders>
            <w:vAlign w:val="center"/>
          </w:tcPr>
          <w:p>
            <w:pPr>
              <w:pStyle w:val="9"/>
              <w:widowControl/>
              <w:jc w:val="left"/>
              <w:rPr>
                <w:rFonts w:ascii="Times New Roman" w:hAnsi="Times New Roman"/>
              </w:rPr>
            </w:pPr>
            <w:r>
              <w:rPr>
                <w:rFonts w:ascii="Times New Roman" w:hAnsi="Times New Roman"/>
              </w:rPr>
              <w:t>自20</w:t>
            </w:r>
            <w:r>
              <w:rPr>
                <w:rFonts w:hint="eastAsia" w:ascii="Times New Roman" w:hAnsi="Times New Roman"/>
              </w:rPr>
              <w:t>2</w:t>
            </w:r>
            <w:r>
              <w:rPr>
                <w:rFonts w:hint="eastAsia" w:ascii="Times New Roman" w:hAnsi="Times New Roman"/>
                <w:lang w:val="en-US" w:eastAsia="zh-CN"/>
              </w:rPr>
              <w:t>1</w:t>
            </w:r>
            <w:r>
              <w:rPr>
                <w:rFonts w:ascii="Times New Roman" w:hAnsi="Times New Roman"/>
              </w:rPr>
              <w:t>年1月1日至20</w:t>
            </w:r>
            <w:r>
              <w:rPr>
                <w:rFonts w:hint="eastAsia" w:ascii="Times New Roman" w:hAnsi="Times New Roman"/>
              </w:rPr>
              <w:t>2</w:t>
            </w:r>
            <w:r>
              <w:rPr>
                <w:rFonts w:hint="eastAsia" w:ascii="Times New Roman" w:hAnsi="Times New Roman"/>
                <w:lang w:val="en-US" w:eastAsia="zh-CN"/>
              </w:rPr>
              <w:t>1</w:t>
            </w:r>
            <w:r>
              <w:rPr>
                <w:rFonts w:ascii="Times New Roman" w:hAnsi="Times New Roman"/>
              </w:rPr>
              <w:t>年</w:t>
            </w:r>
            <w:r>
              <w:rPr>
                <w:rFonts w:hint="eastAsia" w:ascii="Times New Roman" w:hAnsi="Times New Roman"/>
                <w:lang w:val="en-US" w:eastAsia="zh-CN"/>
              </w:rPr>
              <w:t>6</w:t>
            </w:r>
            <w:r>
              <w:rPr>
                <w:rFonts w:ascii="Times New Roman" w:hAnsi="Times New Roman"/>
              </w:rPr>
              <w:t>月3</w:t>
            </w:r>
            <w:r>
              <w:rPr>
                <w:rFonts w:hint="eastAsia" w:ascii="Times New Roman" w:hAnsi="Times New Roman"/>
                <w:lang w:val="en-US" w:eastAsia="zh-CN"/>
              </w:rPr>
              <w:t>0</w:t>
            </w:r>
            <w:r>
              <w:rPr>
                <w:rFonts w:ascii="Times New Roman" w:hAnsi="Times New Roman"/>
              </w:rPr>
              <w:t>日在全国范围内的</w:t>
            </w:r>
            <w:r>
              <w:rPr>
                <w:rFonts w:hint="eastAsia" w:ascii="Times New Roman" w:hAnsi="Times New Roman"/>
              </w:rPr>
              <w:t>企业债券</w:t>
            </w:r>
            <w:r>
              <w:rPr>
                <w:rFonts w:ascii="Times New Roman" w:hAnsi="Times New Roman"/>
              </w:rPr>
              <w:t>总承销金额</w:t>
            </w:r>
            <w:r>
              <w:rPr>
                <w:rFonts w:hint="eastAsia" w:ascii="Times New Roman" w:hAnsi="Times New Roman"/>
              </w:rPr>
              <w:t>，总承销金额</w:t>
            </w:r>
            <w:r>
              <w:rPr>
                <w:rFonts w:hint="eastAsia" w:ascii="Times New Roman" w:hAnsi="Times New Roman"/>
                <w:lang w:val="en-US" w:eastAsia="zh-CN"/>
              </w:rPr>
              <w:t>100</w:t>
            </w:r>
            <w:r>
              <w:rPr>
                <w:rFonts w:hint="eastAsia" w:ascii="Times New Roman" w:hAnsi="Times New Roman"/>
              </w:rPr>
              <w:t>亿元（含）以上得</w:t>
            </w:r>
            <w:r>
              <w:rPr>
                <w:rFonts w:hint="eastAsia" w:ascii="Times New Roman" w:hAnsi="Times New Roman"/>
                <w:lang w:val="en-US" w:eastAsia="zh-CN"/>
              </w:rPr>
              <w:t>10</w:t>
            </w:r>
            <w:r>
              <w:rPr>
                <w:rFonts w:hint="eastAsia" w:ascii="Times New Roman" w:hAnsi="Times New Roman"/>
              </w:rPr>
              <w:t>分，</w:t>
            </w:r>
            <w:r>
              <w:rPr>
                <w:rFonts w:ascii="Times New Roman" w:hAnsi="Times New Roman"/>
              </w:rPr>
              <w:t>100</w:t>
            </w:r>
            <w:r>
              <w:rPr>
                <w:rFonts w:hint="eastAsia" w:ascii="Times New Roman" w:hAnsi="Times New Roman"/>
              </w:rPr>
              <w:t>至</w:t>
            </w:r>
            <w:r>
              <w:rPr>
                <w:rFonts w:hint="eastAsia" w:ascii="Times New Roman" w:hAnsi="Times New Roman"/>
                <w:lang w:val="en-US" w:eastAsia="zh-CN"/>
              </w:rPr>
              <w:t>50</w:t>
            </w:r>
            <w:r>
              <w:rPr>
                <w:rFonts w:hint="eastAsia" w:ascii="Times New Roman" w:hAnsi="Times New Roman"/>
              </w:rPr>
              <w:t>（不含）亿元得</w:t>
            </w:r>
            <w:r>
              <w:rPr>
                <w:rFonts w:hint="eastAsia" w:ascii="Times New Roman" w:hAnsi="Times New Roman"/>
                <w:lang w:val="en-US" w:eastAsia="zh-CN"/>
              </w:rPr>
              <w:t>5</w:t>
            </w:r>
            <w:r>
              <w:rPr>
                <w:rFonts w:hint="eastAsia" w:ascii="Times New Roman" w:hAnsi="Times New Roman"/>
              </w:rPr>
              <w:t>分，</w:t>
            </w:r>
            <w:r>
              <w:rPr>
                <w:rFonts w:hint="eastAsia" w:ascii="Times New Roman" w:hAnsi="Times New Roman"/>
                <w:lang w:val="en-US" w:eastAsia="zh-CN"/>
              </w:rPr>
              <w:t>50</w:t>
            </w:r>
            <w:r>
              <w:rPr>
                <w:rFonts w:hint="eastAsia" w:ascii="Times New Roman" w:hAnsi="Times New Roman"/>
              </w:rPr>
              <w:t>亿元以下得</w:t>
            </w:r>
            <w:r>
              <w:rPr>
                <w:rFonts w:hint="eastAsia" w:ascii="Times New Roman" w:hAnsi="Times New Roman"/>
                <w:lang w:val="en-US" w:eastAsia="zh-CN"/>
              </w:rPr>
              <w:t>0</w:t>
            </w:r>
            <w:r>
              <w:rPr>
                <w:rFonts w:hint="eastAsia" w:ascii="Times New Roman" w:hAnsi="Times New Roman"/>
              </w:rPr>
              <w:t>分。</w:t>
            </w:r>
          </w:p>
          <w:p>
            <w:pPr>
              <w:pStyle w:val="9"/>
              <w:widowControl/>
              <w:jc w:val="left"/>
              <w:rPr>
                <w:rFonts w:ascii="Times New Roman" w:hAnsi="Times New Roman"/>
                <w:color w:val="000000"/>
                <w:kern w:val="0"/>
                <w:szCs w:val="21"/>
              </w:rPr>
            </w:pPr>
            <w:r>
              <w:rPr>
                <w:rFonts w:hint="eastAsia" w:ascii="Times New Roman" w:hAnsi="Times New Roman"/>
              </w:rPr>
              <w:t>（评审依据：以Wind资讯“债券”“一级市场”“承销统计”“债券承销排名（wind口径）”为统计口径，勾选“联主实际比例”“包括自主自办发行”）</w:t>
            </w:r>
          </w:p>
        </w:tc>
        <w:tc>
          <w:tcPr>
            <w:tcW w:w="1090" w:type="dxa"/>
            <w:tcBorders>
              <w:tl2br w:val="nil"/>
              <w:tr2bl w:val="nil"/>
            </w:tcBorders>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vAlign w:val="center"/>
          </w:tcPr>
          <w:p>
            <w:pPr>
              <w:pStyle w:val="5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河南地区承销</w:t>
            </w:r>
          </w:p>
          <w:p>
            <w:pPr>
              <w:pStyle w:val="50"/>
              <w:jc w:val="center"/>
              <w:rPr>
                <w:rFonts w:hint="eastAsia" w:ascii="宋体" w:hAnsi="宋体" w:eastAsia="宋体" w:cs="Times New Roman"/>
                <w:b w:val="0"/>
                <w:bCs w:val="0"/>
                <w:color w:val="000000"/>
                <w:sz w:val="21"/>
                <w:szCs w:val="21"/>
                <w:lang w:val="en-US" w:eastAsia="zh-CN" w:bidi="ar-SA"/>
              </w:rPr>
            </w:pPr>
            <w:r>
              <w:rPr>
                <w:rFonts w:hint="eastAsia" w:ascii="宋体" w:hAnsi="宋体" w:eastAsia="宋体" w:cs="宋体"/>
                <w:color w:val="auto"/>
                <w:sz w:val="21"/>
                <w:szCs w:val="21"/>
                <w:lang w:val="en-US" w:eastAsia="zh-CN"/>
              </w:rPr>
              <w:t>业绩</w:t>
            </w:r>
          </w:p>
        </w:tc>
        <w:tc>
          <w:tcPr>
            <w:tcW w:w="5954" w:type="dxa"/>
            <w:tcBorders>
              <w:tl2br w:val="nil"/>
              <w:tr2bl w:val="nil"/>
            </w:tcBorders>
            <w:vAlign w:val="center"/>
          </w:tcPr>
          <w:p>
            <w:pPr>
              <w:pStyle w:val="9"/>
              <w:widowControl/>
              <w:jc w:val="left"/>
              <w:rPr>
                <w:rFonts w:hint="eastAsia" w:ascii="Times New Roman" w:hAnsi="Times New Roman" w:eastAsia="宋体"/>
                <w:lang w:val="en-US" w:eastAsia="zh-CN"/>
              </w:rPr>
            </w:pPr>
            <w:r>
              <w:rPr>
                <w:rFonts w:hint="eastAsia" w:ascii="Times New Roman" w:hAnsi="Times New Roman"/>
              </w:rPr>
              <w:t>2021年1月1日</w:t>
            </w:r>
            <w:r>
              <w:rPr>
                <w:rFonts w:ascii="Times New Roman" w:hAnsi="Times New Roman"/>
              </w:rPr>
              <w:t>至今，</w:t>
            </w:r>
            <w:r>
              <w:rPr>
                <w:rFonts w:hint="eastAsia" w:ascii="Times New Roman" w:hAnsi="Times New Roman"/>
                <w:lang w:val="en-US" w:eastAsia="zh-CN"/>
              </w:rPr>
              <w:t>在河南范围内有独立主承发行成功企业债券业绩的得15分，否则得0分。</w:t>
            </w:r>
          </w:p>
          <w:p>
            <w:pPr>
              <w:pStyle w:val="9"/>
              <w:widowControl/>
              <w:jc w:val="left"/>
              <w:rPr>
                <w:rStyle w:val="57"/>
                <w:rFonts w:hint="eastAsia" w:ascii="宋体" w:hAnsi="宋体" w:eastAsia="宋体"/>
                <w:b w:val="0"/>
                <w:bCs w:val="0"/>
                <w:sz w:val="21"/>
                <w:szCs w:val="21"/>
                <w:lang w:val="en-US" w:eastAsia="zh-CN"/>
              </w:rPr>
            </w:pPr>
            <w:r>
              <w:rPr>
                <w:rFonts w:ascii="Times New Roman" w:hAnsi="Times New Roman"/>
              </w:rPr>
              <w:t>（</w:t>
            </w:r>
            <w:r>
              <w:rPr>
                <w:rFonts w:hint="eastAsia" w:ascii="Times New Roman" w:hAnsi="Times New Roman"/>
              </w:rPr>
              <w:t>需</w:t>
            </w:r>
            <w:r>
              <w:rPr>
                <w:rFonts w:ascii="Times New Roman" w:hAnsi="Times New Roman"/>
              </w:rPr>
              <w:t>提供相关证明）</w:t>
            </w:r>
          </w:p>
        </w:tc>
        <w:tc>
          <w:tcPr>
            <w:tcW w:w="1090" w:type="dxa"/>
            <w:tcBorders>
              <w:tl2br w:val="nil"/>
              <w:tr2bl w:val="nil"/>
            </w:tcBorders>
            <w:vAlign w:val="center"/>
          </w:tcPr>
          <w:p>
            <w:pPr>
              <w:widowControl/>
              <w:spacing w:line="500" w:lineRule="exact"/>
              <w:jc w:val="center"/>
              <w:rPr>
                <w:rFonts w:hint="default" w:ascii="Times New Roman" w:hAnsi="Times New Roman" w:eastAsia="宋体" w:cs="Times New Roman"/>
                <w:b w:val="0"/>
                <w:bCs w:val="0"/>
                <w:color w:val="000000"/>
                <w:kern w:val="0"/>
                <w:sz w:val="21"/>
                <w:szCs w:val="21"/>
                <w:lang w:val="en-US" w:eastAsia="zh-CN" w:bidi="ar-SA"/>
              </w:rPr>
            </w:pPr>
            <w:r>
              <w:rPr>
                <w:rFonts w:hint="eastAsia" w:ascii="Times New Roman" w:hAnsi="Times New Roman"/>
                <w:color w:val="000000"/>
                <w:kern w:val="0"/>
                <w:szCs w:val="21"/>
                <w:lang w:val="en-US" w:eastAsia="zh-CN"/>
              </w:rPr>
              <w:t>15</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团队能力</w:t>
            </w:r>
          </w:p>
        </w:tc>
        <w:tc>
          <w:tcPr>
            <w:tcW w:w="5954" w:type="dxa"/>
            <w:tcBorders>
              <w:tl2br w:val="nil"/>
              <w:tr2bl w:val="nil"/>
            </w:tcBorders>
            <w:vAlign w:val="center"/>
          </w:tcPr>
          <w:p>
            <w:pPr>
              <w:widowControl/>
              <w:jc w:val="left"/>
              <w:rPr>
                <w:rFonts w:hint="default" w:ascii="Times New Roman" w:hAnsi="Times New Roman" w:eastAsia="宋体" w:cs="Times New Roman"/>
                <w:b w:val="0"/>
                <w:bCs/>
                <w:color w:val="000000"/>
                <w:lang w:val="en-US" w:eastAsia="zh-CN"/>
              </w:rPr>
            </w:pPr>
            <w:r>
              <w:rPr>
                <w:rFonts w:ascii="Times New Roman" w:hAnsi="Times New Roman" w:eastAsia="宋体" w:cs="Times New Roman"/>
                <w:b w:val="0"/>
                <w:bCs/>
                <w:color w:val="000000"/>
              </w:rPr>
              <w:t>本项目总协调人为券商机构总部投行部门债券市场区域团队负责人及以上级别得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分，否则不得分；拟派项目主办人员20</w:t>
            </w:r>
            <w:r>
              <w:rPr>
                <w:rFonts w:hint="eastAsia" w:ascii="Times New Roman" w:hAnsi="Times New Roman" w:cs="Times New Roman"/>
                <w:b w:val="0"/>
                <w:bCs/>
                <w:color w:val="000000"/>
                <w:lang w:val="en-US" w:eastAsia="zh-CN"/>
              </w:rPr>
              <w:t>20</w:t>
            </w:r>
            <w:r>
              <w:rPr>
                <w:rFonts w:ascii="Times New Roman" w:hAnsi="Times New Roman" w:eastAsia="宋体" w:cs="Times New Roman"/>
                <w:b w:val="0"/>
                <w:bCs/>
                <w:color w:val="000000"/>
              </w:rPr>
              <w:t>年至今完成</w:t>
            </w:r>
            <w:r>
              <w:rPr>
                <w:rFonts w:hint="eastAsia" w:ascii="Times New Roman" w:hAnsi="Times New Roman" w:cs="Times New Roman"/>
                <w:b w:val="0"/>
                <w:bCs/>
                <w:color w:val="000000"/>
                <w:lang w:val="en-US" w:eastAsia="zh-CN"/>
              </w:rPr>
              <w:t>企业债</w:t>
            </w:r>
            <w:r>
              <w:rPr>
                <w:rFonts w:hint="eastAsia" w:ascii="Times New Roman" w:hAnsi="Times New Roman" w:cs="Times New Roman"/>
                <w:b w:val="0"/>
                <w:bCs/>
                <w:color w:val="000000"/>
                <w:lang w:eastAsia="zh-CN"/>
              </w:rPr>
              <w:t>券</w:t>
            </w:r>
            <w:r>
              <w:rPr>
                <w:rFonts w:ascii="Times New Roman" w:hAnsi="Times New Roman" w:eastAsia="宋体" w:cs="Times New Roman"/>
                <w:b w:val="0"/>
                <w:bCs/>
                <w:color w:val="000000"/>
              </w:rPr>
              <w:t>发行3支以上得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w:t>
            </w:r>
            <w:r>
              <w:rPr>
                <w:rFonts w:hint="eastAsia" w:ascii="Times New Roman" w:hAnsi="Times New Roman" w:cs="Times New Roman"/>
                <w:b w:val="0"/>
                <w:bCs/>
                <w:color w:val="000000"/>
                <w:lang w:eastAsia="zh-CN"/>
              </w:rPr>
              <w:t>，否则</w:t>
            </w:r>
            <w:r>
              <w:rPr>
                <w:rFonts w:hint="eastAsia" w:ascii="Times New Roman" w:hAnsi="Times New Roman" w:eastAsia="宋体" w:cs="Times New Roman"/>
                <w:b w:val="0"/>
                <w:bCs/>
                <w:color w:val="000000"/>
                <w:lang w:val="en-US" w:eastAsia="zh-CN"/>
              </w:rPr>
              <w:t>不得分。</w:t>
            </w:r>
          </w:p>
          <w:p>
            <w:pPr>
              <w:widowControl/>
              <w:jc w:val="left"/>
              <w:rPr>
                <w:rFonts w:ascii="Times New Roman" w:hAnsi="Times New Roman"/>
                <w:kern w:val="0"/>
                <w:szCs w:val="21"/>
              </w:rPr>
            </w:pPr>
            <w:r>
              <w:rPr>
                <w:rFonts w:ascii="Times New Roman" w:hAnsi="Times New Roman" w:eastAsia="宋体" w:cs="Times New Roman"/>
                <w:b w:val="0"/>
                <w:bCs/>
                <w:color w:val="000000"/>
              </w:rPr>
              <w:t>（需提供相关证明）</w:t>
            </w:r>
          </w:p>
        </w:tc>
        <w:tc>
          <w:tcPr>
            <w:tcW w:w="1090" w:type="dxa"/>
            <w:tcBorders>
              <w:tl2br w:val="nil"/>
              <w:tr2bl w:val="nil"/>
            </w:tcBorders>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930" w:type="dxa"/>
            <w:gridSpan w:val="3"/>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7、</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拟投入本项目人员汇总表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10</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sz w:val="30"/>
          <w:szCs w:val="30"/>
        </w:rPr>
        <w:t>项目</w:t>
      </w:r>
      <w:r>
        <w:rPr>
          <w:rFonts w:hint="eastAsia" w:ascii="仿宋" w:hAnsi="仿宋" w:eastAsia="仿宋"/>
          <w:sz w:val="30"/>
          <w:szCs w:val="30"/>
          <w:lang w:eastAsia="zh-CN"/>
        </w:rPr>
        <w:t>企业债券</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sz w:val="30"/>
          <w:szCs w:val="30"/>
          <w:lang w:eastAsia="zh-CN"/>
        </w:rPr>
        <w:t>企业债券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r>
        <w:rPr>
          <w:rFonts w:hint="eastAsia" w:ascii="仿宋" w:hAnsi="仿宋" w:eastAsia="仿宋" w:cs="仿宋_GB2312"/>
          <w:color w:val="181A1F"/>
          <w:kern w:val="0"/>
          <w:sz w:val="30"/>
          <w:szCs w:val="30"/>
          <w:lang w:val="en-US" w:eastAsia="zh-CN"/>
        </w:rPr>
        <w:t>或盖章</w:t>
      </w:r>
      <w:r>
        <w:rPr>
          <w:rFonts w:hint="eastAsia" w:ascii="仿宋" w:hAnsi="仿宋" w:eastAsia="仿宋" w:cs="仿宋_GB2312"/>
          <w:color w:val="181A1F"/>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7"/>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59264;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imHwNYAAAAKAQAADwAA&#10;AAAAAAABACAAAAAiAAAAZHJzL2Rvd25yZXYueG1sUEsBAhQAFAAAAAgAh07iQPkeFJHfAQAA6AMA&#10;AA4AAAAAAAAAAQAgAAAAJQEAAGRycy9lMm9Eb2MueG1sUEsFBgAAAAAGAAYAWQEAAHY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1312;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fW2d1gAAAAkBAAAP&#10;AAAAAAAAAAEAIAAAACIAAABkcnMvZG93bnJldi54bWxQSwECFAAUAAAACACHTuJA321FDeEBAADo&#10;AwAADgAAAAAAAAABACAAAAAlAQAAZHJzL2Uyb0RvYy54bWxQSwUGAAAAAAYABgBZAQAAe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7"/>
        <w:spacing w:line="600" w:lineRule="exact"/>
        <w:ind w:left="200" w:firstLine="0" w:firstLineChars="0"/>
        <w:rPr>
          <w:rFonts w:ascii="仿宋" w:hAnsi="仿宋" w:eastAsia="仿宋" w:cs="仿宋_GB2312"/>
          <w:sz w:val="30"/>
          <w:szCs w:val="30"/>
        </w:rPr>
      </w:pPr>
    </w:p>
    <w:p>
      <w:pPr>
        <w:pStyle w:val="47"/>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8"/>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5"/>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5"/>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5"/>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7"/>
        <w:spacing w:line="600" w:lineRule="exact"/>
        <w:ind w:firstLine="0" w:firstLineChars="0"/>
        <w:rPr>
          <w:rFonts w:ascii="仿宋" w:hAnsi="仿宋" w:eastAsia="仿宋" w:cs="仿宋_GB2312"/>
          <w:sz w:val="30"/>
          <w:szCs w:val="30"/>
        </w:rPr>
      </w:pPr>
    </w:p>
    <w:p>
      <w:pPr>
        <w:pStyle w:val="9"/>
        <w:rPr>
          <w:rFonts w:ascii="仿宋" w:hAnsi="仿宋" w:eastAsia="仿宋" w:cs="仿宋_GB2312"/>
          <w:color w:val="111318"/>
          <w:kern w:val="0"/>
          <w:sz w:val="30"/>
          <w:szCs w:val="30"/>
        </w:rPr>
      </w:pPr>
    </w:p>
    <w:p>
      <w:pPr>
        <w:pStyle w:val="47"/>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7：</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7"/>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8"/>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7"/>
        <w:spacing w:line="600" w:lineRule="exact"/>
        <w:ind w:left="200" w:firstLine="0" w:firstLineChars="0"/>
        <w:rPr>
          <w:rFonts w:ascii="仿宋" w:hAnsi="仿宋" w:eastAsia="仿宋"/>
          <w:sz w:val="32"/>
          <w:szCs w:val="32"/>
        </w:rPr>
      </w:pPr>
    </w:p>
    <w:p>
      <w:pPr>
        <w:pStyle w:val="47"/>
        <w:spacing w:line="600" w:lineRule="exact"/>
        <w:ind w:left="200" w:firstLine="0" w:firstLineChars="0"/>
        <w:rPr>
          <w:rFonts w:ascii="仿宋" w:hAnsi="仿宋" w:eastAsia="仿宋"/>
          <w:sz w:val="32"/>
          <w:szCs w:val="32"/>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10</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sz w:val="30"/>
          <w:szCs w:val="30"/>
          <w:lang w:eastAsia="zh-CN"/>
        </w:rPr>
        <w:t>企业债券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国家发改委</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13</w:t>
    </w:r>
    <w:r>
      <w:rPr>
        <w:lang w:val="zh-CN"/>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39E0532"/>
    <w:rsid w:val="04B465B5"/>
    <w:rsid w:val="04D4719E"/>
    <w:rsid w:val="05E9194A"/>
    <w:rsid w:val="07103A76"/>
    <w:rsid w:val="07407110"/>
    <w:rsid w:val="07603392"/>
    <w:rsid w:val="08A20BDD"/>
    <w:rsid w:val="0B496569"/>
    <w:rsid w:val="0C3F1BC6"/>
    <w:rsid w:val="0EBB0A57"/>
    <w:rsid w:val="0FA054ED"/>
    <w:rsid w:val="148500C8"/>
    <w:rsid w:val="15286998"/>
    <w:rsid w:val="161B2363"/>
    <w:rsid w:val="16D910A7"/>
    <w:rsid w:val="1718035A"/>
    <w:rsid w:val="1FC53A57"/>
    <w:rsid w:val="217E5477"/>
    <w:rsid w:val="23727E39"/>
    <w:rsid w:val="23B7333F"/>
    <w:rsid w:val="293E6A67"/>
    <w:rsid w:val="2C2A3714"/>
    <w:rsid w:val="2D0A7B3D"/>
    <w:rsid w:val="2F871FCE"/>
    <w:rsid w:val="30026DF1"/>
    <w:rsid w:val="372C139E"/>
    <w:rsid w:val="393F7483"/>
    <w:rsid w:val="3BE23D7D"/>
    <w:rsid w:val="3DA40DB4"/>
    <w:rsid w:val="406F6FE9"/>
    <w:rsid w:val="415B1F16"/>
    <w:rsid w:val="419D10B9"/>
    <w:rsid w:val="44E07C59"/>
    <w:rsid w:val="450867D9"/>
    <w:rsid w:val="493165BC"/>
    <w:rsid w:val="4AF01C50"/>
    <w:rsid w:val="4C661571"/>
    <w:rsid w:val="4CAC0371"/>
    <w:rsid w:val="4F6C463F"/>
    <w:rsid w:val="4FFC21EB"/>
    <w:rsid w:val="521E2393"/>
    <w:rsid w:val="52D43D82"/>
    <w:rsid w:val="54274F11"/>
    <w:rsid w:val="54A67FF7"/>
    <w:rsid w:val="555A6F32"/>
    <w:rsid w:val="58A53346"/>
    <w:rsid w:val="5A856E48"/>
    <w:rsid w:val="5B073E59"/>
    <w:rsid w:val="5B61690E"/>
    <w:rsid w:val="5DC54FB9"/>
    <w:rsid w:val="5F7472CA"/>
    <w:rsid w:val="606C3ED4"/>
    <w:rsid w:val="631F1E62"/>
    <w:rsid w:val="6520361E"/>
    <w:rsid w:val="67350F9E"/>
    <w:rsid w:val="6DBB3448"/>
    <w:rsid w:val="71221EFD"/>
    <w:rsid w:val="795A46B5"/>
    <w:rsid w:val="79FB4A4D"/>
    <w:rsid w:val="7A796699"/>
    <w:rsid w:val="7CC109E0"/>
    <w:rsid w:val="7D2D147E"/>
    <w:rsid w:val="7E433F92"/>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link w:val="26"/>
    <w:qFormat/>
    <w:uiPriority w:val="0"/>
    <w:pPr>
      <w:keepNext/>
      <w:ind w:firstLine="241" w:firstLineChars="100"/>
      <w:outlineLvl w:val="1"/>
    </w:pPr>
    <w:rPr>
      <w:rFonts w:ascii="宋体" w:hAnsi="宋体"/>
      <w:b/>
      <w:bCs/>
      <w:sz w:val="24"/>
      <w:szCs w:val="20"/>
      <w:lang w:val="zh-CN"/>
    </w:rPr>
  </w:style>
  <w:style w:type="paragraph" w:styleId="5">
    <w:name w:val="heading 3"/>
    <w:basedOn w:val="1"/>
    <w:next w:val="1"/>
    <w:link w:val="27"/>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6">
    <w:name w:val="annotation text"/>
    <w:basedOn w:val="1"/>
    <w:link w:val="39"/>
    <w:unhideWhenUsed/>
    <w:qFormat/>
    <w:uiPriority w:val="99"/>
    <w:pPr>
      <w:jc w:val="left"/>
    </w:pPr>
    <w:rPr>
      <w:rFonts w:asciiTheme="minorHAnsi" w:hAnsiTheme="minorHAnsi" w:eastAsiaTheme="minorEastAsia" w:cstheme="minorBidi"/>
    </w:rPr>
  </w:style>
  <w:style w:type="paragraph" w:styleId="7">
    <w:name w:val="Salutation"/>
    <w:basedOn w:val="1"/>
    <w:next w:val="1"/>
    <w:link w:val="38"/>
    <w:unhideWhenUsed/>
    <w:qFormat/>
    <w:uiPriority w:val="99"/>
    <w:rPr>
      <w:rFonts w:ascii="Times New Roman" w:hAnsi="Times New Roman" w:eastAsiaTheme="minorEastAsia" w:cstheme="minorBidi"/>
      <w:sz w:val="32"/>
      <w:szCs w:val="32"/>
    </w:rPr>
  </w:style>
  <w:style w:type="paragraph" w:styleId="8">
    <w:name w:val="Closing"/>
    <w:basedOn w:val="1"/>
    <w:link w:val="43"/>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41"/>
    <w:qFormat/>
    <w:uiPriority w:val="0"/>
    <w:rPr>
      <w:rFonts w:ascii="宋体" w:hAnsi="Courier New" w:eastAsiaTheme="minorEastAsia" w:cstheme="minorBidi"/>
    </w:rPr>
  </w:style>
  <w:style w:type="paragraph" w:styleId="11">
    <w:name w:val="Date"/>
    <w:basedOn w:val="1"/>
    <w:next w:val="1"/>
    <w:link w:val="42"/>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4"/>
    <w:unhideWhenUsed/>
    <w:qFormat/>
    <w:uiPriority w:val="99"/>
    <w:rPr>
      <w:rFonts w:asciiTheme="minorHAnsi" w:hAnsiTheme="minorHAnsi" w:eastAsiaTheme="minorEastAsia" w:cstheme="minorBidi"/>
      <w:sz w:val="16"/>
      <w:szCs w:val="16"/>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rFonts w:cs="Times New Roman"/>
      <w:kern w:val="0"/>
      <w:sz w:val="24"/>
    </w:rPr>
  </w:style>
  <w:style w:type="paragraph" w:styleId="17">
    <w:name w:val="annotation subject"/>
    <w:basedOn w:val="6"/>
    <w:next w:val="6"/>
    <w:link w:val="40"/>
    <w:unhideWhenUsed/>
    <w:qFormat/>
    <w:uiPriority w:val="99"/>
    <w:rPr>
      <w:b/>
      <w:bCs/>
    </w:rPr>
  </w:style>
  <w:style w:type="table" w:styleId="19">
    <w:name w:val="Table Grid"/>
    <w:basedOn w:val="18"/>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FollowedHyperlink"/>
    <w:qFormat/>
    <w:uiPriority w:val="0"/>
    <w:rPr>
      <w:color w:val="800080"/>
      <w:u w:val="single"/>
    </w:rPr>
  </w:style>
  <w:style w:type="character" w:styleId="22">
    <w:name w:val="annotation reference"/>
    <w:basedOn w:val="20"/>
    <w:unhideWhenUsed/>
    <w:qFormat/>
    <w:uiPriority w:val="99"/>
    <w:rPr>
      <w:sz w:val="21"/>
      <w:szCs w:val="21"/>
    </w:rPr>
  </w:style>
  <w:style w:type="paragraph" w:customStyle="1" w:styleId="23">
    <w:name w:val="BodyText"/>
    <w:basedOn w:val="1"/>
    <w:qFormat/>
    <w:uiPriority w:val="0"/>
    <w:pPr>
      <w:spacing w:after="120"/>
    </w:pPr>
  </w:style>
  <w:style w:type="character" w:customStyle="1" w:styleId="24">
    <w:name w:val="页眉 Char"/>
    <w:basedOn w:val="20"/>
    <w:link w:val="14"/>
    <w:qFormat/>
    <w:uiPriority w:val="99"/>
    <w:rPr>
      <w:sz w:val="18"/>
      <w:szCs w:val="18"/>
    </w:rPr>
  </w:style>
  <w:style w:type="character" w:customStyle="1" w:styleId="25">
    <w:name w:val="页脚 Char"/>
    <w:basedOn w:val="20"/>
    <w:link w:val="13"/>
    <w:qFormat/>
    <w:uiPriority w:val="99"/>
    <w:rPr>
      <w:sz w:val="18"/>
      <w:szCs w:val="18"/>
    </w:rPr>
  </w:style>
  <w:style w:type="character" w:customStyle="1" w:styleId="26">
    <w:name w:val="标题 2 Char"/>
    <w:basedOn w:val="20"/>
    <w:link w:val="4"/>
    <w:qFormat/>
    <w:uiPriority w:val="0"/>
    <w:rPr>
      <w:rFonts w:ascii="宋体" w:hAnsi="宋体" w:eastAsia="宋体" w:cs="Times New Roman"/>
      <w:b/>
      <w:bCs/>
      <w:sz w:val="24"/>
      <w:szCs w:val="20"/>
      <w:lang w:val="zh-CN"/>
    </w:rPr>
  </w:style>
  <w:style w:type="character" w:customStyle="1" w:styleId="27">
    <w:name w:val="标题 3 Char"/>
    <w:basedOn w:val="20"/>
    <w:link w:val="5"/>
    <w:qFormat/>
    <w:uiPriority w:val="9"/>
    <w:rPr>
      <w:rFonts w:ascii="Calibri" w:hAnsi="Calibri" w:eastAsia="宋体" w:cs="Times New Roman"/>
      <w:b/>
      <w:bCs/>
      <w:sz w:val="32"/>
      <w:szCs w:val="32"/>
    </w:rPr>
  </w:style>
  <w:style w:type="character" w:customStyle="1" w:styleId="28">
    <w:name w:val="日期 Char"/>
    <w:basedOn w:val="20"/>
    <w:link w:val="11"/>
    <w:qFormat/>
    <w:uiPriority w:val="99"/>
  </w:style>
  <w:style w:type="character" w:customStyle="1" w:styleId="29">
    <w:name w:val="Plain Text Char1"/>
    <w:basedOn w:val="20"/>
    <w:semiHidden/>
    <w:qFormat/>
    <w:uiPriority w:val="99"/>
    <w:rPr>
      <w:rFonts w:ascii="宋体" w:hAnsi="Courier New" w:eastAsia="宋体" w:cs="Courier New"/>
      <w:szCs w:val="21"/>
    </w:rPr>
  </w:style>
  <w:style w:type="character" w:customStyle="1" w:styleId="30">
    <w:name w:val="批注文字 Char"/>
    <w:basedOn w:val="20"/>
    <w:link w:val="6"/>
    <w:qFormat/>
    <w:uiPriority w:val="99"/>
  </w:style>
  <w:style w:type="character" w:customStyle="1" w:styleId="31">
    <w:name w:val="称呼 Char"/>
    <w:basedOn w:val="20"/>
    <w:link w:val="7"/>
    <w:qFormat/>
    <w:uiPriority w:val="99"/>
    <w:rPr>
      <w:rFonts w:ascii="Times New Roman" w:hAnsi="Times New Roman"/>
      <w:sz w:val="32"/>
      <w:szCs w:val="32"/>
    </w:rPr>
  </w:style>
  <w:style w:type="character" w:customStyle="1" w:styleId="32">
    <w:name w:val="纯文本 Char"/>
    <w:link w:val="10"/>
    <w:qFormat/>
    <w:locked/>
    <w:uiPriority w:val="0"/>
    <w:rPr>
      <w:rFonts w:ascii="宋体" w:hAnsi="Courier New"/>
    </w:rPr>
  </w:style>
  <w:style w:type="character" w:customStyle="1" w:styleId="33">
    <w:name w:val="批注框文本 Char"/>
    <w:basedOn w:val="20"/>
    <w:link w:val="12"/>
    <w:qFormat/>
    <w:uiPriority w:val="99"/>
    <w:rPr>
      <w:sz w:val="16"/>
      <w:szCs w:val="16"/>
    </w:rPr>
  </w:style>
  <w:style w:type="character" w:customStyle="1" w:styleId="34">
    <w:name w:val="批注主题 Char"/>
    <w:basedOn w:val="30"/>
    <w:link w:val="17"/>
    <w:qFormat/>
    <w:uiPriority w:val="99"/>
    <w:rPr>
      <w:b/>
      <w:bCs/>
    </w:rPr>
  </w:style>
  <w:style w:type="character" w:customStyle="1" w:styleId="35">
    <w:name w:val="结束语 Char"/>
    <w:basedOn w:val="20"/>
    <w:link w:val="8"/>
    <w:qFormat/>
    <w:uiPriority w:val="99"/>
    <w:rPr>
      <w:rFonts w:ascii="Times New Roman" w:hAnsi="Times New Roman"/>
      <w:sz w:val="32"/>
      <w:szCs w:val="32"/>
    </w:rPr>
  </w:style>
  <w:style w:type="character" w:customStyle="1" w:styleId="36">
    <w:name w:val="样式 Char Char"/>
    <w:link w:val="37"/>
    <w:qFormat/>
    <w:uiPriority w:val="0"/>
    <w:rPr>
      <w:rFonts w:ascii="宋体" w:hAnsi="宋体"/>
      <w:sz w:val="24"/>
      <w:szCs w:val="24"/>
    </w:rPr>
  </w:style>
  <w:style w:type="paragraph" w:customStyle="1" w:styleId="37">
    <w:name w:val="样式"/>
    <w:link w:val="36"/>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8">
    <w:name w:val="称呼 Char1"/>
    <w:basedOn w:val="20"/>
    <w:link w:val="7"/>
    <w:semiHidden/>
    <w:qFormat/>
    <w:uiPriority w:val="99"/>
    <w:rPr>
      <w:rFonts w:ascii="Calibri" w:hAnsi="Calibri" w:eastAsia="宋体" w:cs="Times New Roman"/>
    </w:rPr>
  </w:style>
  <w:style w:type="character" w:customStyle="1" w:styleId="39">
    <w:name w:val="批注文字 Char1"/>
    <w:basedOn w:val="20"/>
    <w:link w:val="6"/>
    <w:semiHidden/>
    <w:qFormat/>
    <w:uiPriority w:val="99"/>
    <w:rPr>
      <w:rFonts w:ascii="Calibri" w:hAnsi="Calibri" w:eastAsia="宋体" w:cs="Times New Roman"/>
    </w:rPr>
  </w:style>
  <w:style w:type="character" w:customStyle="1" w:styleId="40">
    <w:name w:val="批注主题 Char1"/>
    <w:basedOn w:val="39"/>
    <w:link w:val="17"/>
    <w:semiHidden/>
    <w:qFormat/>
    <w:uiPriority w:val="99"/>
    <w:rPr>
      <w:b/>
      <w:bCs/>
    </w:rPr>
  </w:style>
  <w:style w:type="character" w:customStyle="1" w:styleId="41">
    <w:name w:val="纯文本 Char1"/>
    <w:basedOn w:val="20"/>
    <w:link w:val="10"/>
    <w:semiHidden/>
    <w:qFormat/>
    <w:uiPriority w:val="99"/>
    <w:rPr>
      <w:rFonts w:ascii="宋体" w:hAnsi="Courier New" w:eastAsia="宋体" w:cs="Courier New"/>
      <w:szCs w:val="21"/>
    </w:rPr>
  </w:style>
  <w:style w:type="character" w:customStyle="1" w:styleId="42">
    <w:name w:val="日期 Char1"/>
    <w:basedOn w:val="20"/>
    <w:link w:val="11"/>
    <w:semiHidden/>
    <w:qFormat/>
    <w:uiPriority w:val="99"/>
    <w:rPr>
      <w:rFonts w:ascii="Calibri" w:hAnsi="Calibri" w:eastAsia="宋体" w:cs="Times New Roman"/>
    </w:rPr>
  </w:style>
  <w:style w:type="character" w:customStyle="1" w:styleId="43">
    <w:name w:val="结束语 Char1"/>
    <w:basedOn w:val="20"/>
    <w:link w:val="8"/>
    <w:semiHidden/>
    <w:qFormat/>
    <w:uiPriority w:val="99"/>
    <w:rPr>
      <w:rFonts w:ascii="Calibri" w:hAnsi="Calibri" w:eastAsia="宋体" w:cs="Times New Roman"/>
    </w:rPr>
  </w:style>
  <w:style w:type="character" w:customStyle="1" w:styleId="44">
    <w:name w:val="批注框文本 Char1"/>
    <w:basedOn w:val="20"/>
    <w:link w:val="12"/>
    <w:semiHidden/>
    <w:qFormat/>
    <w:uiPriority w:val="99"/>
    <w:rPr>
      <w:rFonts w:ascii="Calibri" w:hAnsi="Calibri" w:eastAsia="宋体" w:cs="Times New Roman"/>
      <w:sz w:val="18"/>
      <w:szCs w:val="18"/>
    </w:rPr>
  </w:style>
  <w:style w:type="character" w:customStyle="1" w:styleId="45">
    <w:name w:val="页眉 Char1"/>
    <w:basedOn w:val="20"/>
    <w:semiHidden/>
    <w:qFormat/>
    <w:uiPriority w:val="99"/>
    <w:rPr>
      <w:kern w:val="2"/>
      <w:sz w:val="18"/>
      <w:szCs w:val="18"/>
    </w:rPr>
  </w:style>
  <w:style w:type="character" w:customStyle="1" w:styleId="46">
    <w:name w:val="页脚 Char1"/>
    <w:basedOn w:val="20"/>
    <w:semiHidden/>
    <w:qFormat/>
    <w:uiPriority w:val="99"/>
    <w:rPr>
      <w:kern w:val="2"/>
      <w:sz w:val="18"/>
      <w:szCs w:val="18"/>
    </w:rPr>
  </w:style>
  <w:style w:type="paragraph" w:styleId="47">
    <w:name w:val="List Paragraph"/>
    <w:basedOn w:val="1"/>
    <w:qFormat/>
    <w:uiPriority w:val="34"/>
    <w:pPr>
      <w:ind w:firstLine="420" w:firstLineChars="200"/>
    </w:pPr>
  </w:style>
  <w:style w:type="paragraph" w:customStyle="1" w:styleId="48">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9">
    <w:name w:val="CM3"/>
    <w:basedOn w:val="50"/>
    <w:next w:val="50"/>
    <w:qFormat/>
    <w:uiPriority w:val="99"/>
    <w:rPr>
      <w:rFonts w:cs="Times New Roman"/>
      <w:color w:val="auto"/>
    </w:rPr>
  </w:style>
  <w:style w:type="paragraph" w:customStyle="1" w:styleId="50">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51">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2">
    <w:name w:val="CM27"/>
    <w:basedOn w:val="50"/>
    <w:next w:val="50"/>
    <w:qFormat/>
    <w:uiPriority w:val="99"/>
    <w:rPr>
      <w:rFonts w:cs="Times New Roman"/>
      <w:color w:val="auto"/>
    </w:rPr>
  </w:style>
  <w:style w:type="paragraph" w:customStyle="1" w:styleId="53">
    <w:name w:val="修订1"/>
    <w:unhideWhenUsed/>
    <w:qFormat/>
    <w:uiPriority w:val="99"/>
    <w:rPr>
      <w:rFonts w:ascii="Calibri" w:hAnsi="Calibri" w:eastAsia="宋体" w:cs="Times New Roman"/>
      <w:kern w:val="2"/>
      <w:sz w:val="21"/>
      <w:szCs w:val="22"/>
      <w:lang w:val="en-US" w:eastAsia="zh-CN" w:bidi="ar-SA"/>
    </w:rPr>
  </w:style>
  <w:style w:type="paragraph" w:customStyle="1" w:styleId="54">
    <w:name w:val="CM30"/>
    <w:basedOn w:val="50"/>
    <w:next w:val="50"/>
    <w:qFormat/>
    <w:uiPriority w:val="99"/>
    <w:rPr>
      <w:rFonts w:cs="Times New Roman"/>
      <w:color w:val="auto"/>
    </w:rPr>
  </w:style>
  <w:style w:type="paragraph" w:customStyle="1" w:styleId="55">
    <w:name w:val="Table Paragraph"/>
    <w:basedOn w:val="1"/>
    <w:qFormat/>
    <w:uiPriority w:val="1"/>
    <w:rPr>
      <w:rFonts w:asciiTheme="minorHAnsi" w:hAnsiTheme="minorHAnsi" w:eastAsiaTheme="minorEastAsia" w:cstheme="minorBidi"/>
    </w:rPr>
  </w:style>
  <w:style w:type="paragraph" w:customStyle="1" w:styleId="56">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7">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0</TotalTime>
  <ScaleCrop>false</ScaleCrop>
  <LinksUpToDate>false</LinksUpToDate>
  <CharactersWithSpaces>7229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投资公司</cp:lastModifiedBy>
  <cp:lastPrinted>2021-08-13T02:20:00Z</cp:lastPrinted>
  <dcterms:modified xsi:type="dcterms:W3CDTF">2021-08-13T10:45:47Z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AABCB76966B94B57B6B0DF1F60969898</vt:lpwstr>
  </property>
</Properties>
</file>