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52"/>
          <w:szCs w:val="52"/>
          <w:lang w:val="en-US" w:eastAsia="zh-CN"/>
        </w:rPr>
      </w:pPr>
      <w:bookmarkStart w:id="0" w:name="_GoBack"/>
      <w:r>
        <w:rPr>
          <w:rStyle w:val="4"/>
          <w:rFonts w:hint="eastAsia" w:ascii="华文中宋" w:hAnsi="华文中宋" w:eastAsia="华文中宋" w:cs="华文中宋"/>
          <w:b w:val="0"/>
          <w:bCs/>
          <w:sz w:val="52"/>
          <w:szCs w:val="52"/>
          <w:lang w:val="en-US" w:eastAsia="zh-CN"/>
        </w:rPr>
        <w:t>许昌市出口退税资金池合作方案（模板）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备注：申报机构可采用自有模板，但表述内容原则上须涵盖本模板所涉及的内容。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u w:val="none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  <w:t>申报银行：</w:t>
      </w: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u w:val="none"/>
          <w:lang w:val="en-US" w:eastAsia="zh-CN"/>
        </w:rPr>
        <w:t>银行（公章）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  <w:t>邮箱：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1280" w:firstLineChars="4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left"/>
        <w:textAlignment w:val="auto"/>
        <w:rPr>
          <w:rStyle w:val="4"/>
          <w:rFonts w:hint="default" w:ascii="华文中宋" w:hAnsi="华文中宋" w:eastAsia="华文中宋" w:cs="华文中宋"/>
          <w:b w:val="0"/>
          <w:bCs/>
          <w:sz w:val="32"/>
          <w:szCs w:val="32"/>
          <w:lang w:val="en-US" w:eastAsia="zh-CN"/>
        </w:rPr>
      </w:pPr>
      <w:r>
        <w:rPr>
          <w:rStyle w:val="4"/>
          <w:rFonts w:hint="eastAsia" w:ascii="华文中宋" w:hAnsi="华文中宋" w:eastAsia="华文中宋" w:cs="华文中宋"/>
          <w:b w:val="0"/>
          <w:bCs/>
          <w:sz w:val="32"/>
          <w:szCs w:val="32"/>
          <w:lang w:val="en-US" w:eastAsia="zh-CN"/>
        </w:rPr>
        <w:t>申报日期：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rPr>
          <w:rStyle w:val="4"/>
          <w:rFonts w:hint="eastAsia" w:ascii="华文中宋" w:hAnsi="华文中宋" w:eastAsia="华文中宋" w:cs="华文中宋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center"/>
        <w:textAlignment w:val="auto"/>
        <w:rPr>
          <w:rStyle w:val="4"/>
          <w:rFonts w:hint="default" w:ascii="华文中宋" w:hAnsi="华文中宋" w:eastAsia="华文中宋" w:cs="华文中宋"/>
          <w:b w:val="0"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申报银行</w:t>
      </w:r>
      <w:r>
        <w:rPr>
          <w:rFonts w:hint="eastAsia" w:ascii="黑体" w:hAnsi="黑体" w:eastAsia="黑体" w:cs="黑体"/>
          <w:sz w:val="32"/>
          <w:szCs w:val="32"/>
        </w:rPr>
        <w:t>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银行简介。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（二）现存的外贸类贷款余额总规模及外贸企业客户数量。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）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省分行关于支持新开发外贸贷款业务的政策说明。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二、资金存放利率及贷款利率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（一）承诺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资金池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存放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资金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同期最高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存款利率水平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（二）承诺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出口退税周转金贷款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同期最惠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利率水平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三、贷款业务推广计划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存量外贸企业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客户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及新开发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客户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介绍。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（二）推广计划。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贷款审批决策机制、风险控制机制及贷后管理措施。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逾期贷款本息的追偿措施。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四、外贸贷款业务团队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（一）业务团队主要负责人履历及行业经验。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（二）主要业务人员履历及行业经验。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五、金融服务方案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结合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许昌市出口退税资金池受托管理机构</w:t>
      </w:r>
      <w:r>
        <w:rPr>
          <w:rFonts w:hint="eastAsia" w:ascii="仿宋_GB2312" w:hAnsi="宋体" w:eastAsia="仿宋_GB2312"/>
          <w:sz w:val="32"/>
          <w:szCs w:val="32"/>
        </w:rPr>
        <w:t>特点，详细说明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计划</w:t>
      </w:r>
      <w:r>
        <w:rPr>
          <w:rFonts w:hint="eastAsia" w:ascii="仿宋_GB2312" w:hAnsi="宋体" w:eastAsia="仿宋_GB2312"/>
          <w:sz w:val="32"/>
          <w:szCs w:val="32"/>
        </w:rPr>
        <w:t>提供的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金融服务和</w:t>
      </w:r>
      <w:r>
        <w:rPr>
          <w:rFonts w:hint="eastAsia" w:ascii="仿宋_GB2312" w:hAnsi="宋体" w:eastAsia="仿宋_GB2312"/>
          <w:sz w:val="32"/>
          <w:szCs w:val="32"/>
        </w:rPr>
        <w:t>增值服务。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center"/>
        <w:textAlignment w:val="auto"/>
        <w:rPr>
          <w:rStyle w:val="4"/>
          <w:rFonts w:hint="default" w:ascii="华文中宋" w:hAnsi="华文中宋" w:eastAsia="华文中宋" w:cs="华文中宋"/>
          <w:b w:val="0"/>
          <w:bCs/>
          <w:sz w:val="32"/>
          <w:szCs w:val="32"/>
          <w:u w:val="none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015D2"/>
    <w:rsid w:val="7240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2022-04-15T09:47:00Z</dcterms:created>
  <dc:creator>马源</dc:creator>
  <cp:lastModifiedBy>马源</cp:lastModifiedBy>
  <dcterms:modified xsi:type="dcterms:W3CDTF">2022-04-15T09:48:35Z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869D270F08D64695B674443FB072F886</vt:lpwstr>
  </property>
</Properties>
</file>