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_GB2312"/>
          <w:b/>
          <w:color w:val="05060A"/>
          <w:kern w:val="0"/>
          <w:sz w:val="36"/>
          <w:szCs w:val="36"/>
          <w:lang w:val="en-US" w:eastAsia="zh-CN"/>
        </w:rPr>
        <w:t>非公开定向融资工具</w:t>
      </w:r>
      <w:r>
        <w:rPr>
          <w:rFonts w:hint="eastAsia" w:ascii="仿宋" w:hAnsi="仿宋" w:eastAsia="仿宋" w:cs="仿宋"/>
          <w:b/>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hint="eastAsia" w:ascii="仿宋" w:hAnsi="仿宋" w:eastAsia="仿宋" w:cs="仿宋"/>
          <w:sz w:val="30"/>
          <w:szCs w:val="30"/>
          <w:lang w:val="en-US" w:eastAsia="zh-CN"/>
        </w:rPr>
        <w:t>3</w:t>
      </w:r>
      <w:r>
        <w:rPr>
          <w:rFonts w:hint="eastAsia" w:ascii="仿宋" w:hAnsi="仿宋" w:eastAsia="仿宋" w:cs="仿宋"/>
          <w:sz w:val="30"/>
          <w:szCs w:val="30"/>
        </w:rPr>
        <w:t>年度资本市场债券发行已由相关部门批准实施，具备招标条件。</w:t>
      </w:r>
      <w:r>
        <w:rPr>
          <w:rFonts w:hint="eastAsia" w:ascii="仿宋" w:hAnsi="仿宋" w:eastAsia="仿宋" w:cs="仿宋_GB2312"/>
          <w:color w:val="16181D"/>
          <w:kern w:val="0"/>
          <w:sz w:val="30"/>
          <w:szCs w:val="30"/>
        </w:rPr>
        <w:t>本次通过公开招标方式选择银行间</w:t>
      </w:r>
      <w:r>
        <w:rPr>
          <w:rFonts w:hint="eastAsia" w:ascii="仿宋" w:hAnsi="仿宋" w:eastAsia="仿宋" w:cs="仿宋_GB2312"/>
          <w:color w:val="16181D"/>
          <w:kern w:val="0"/>
          <w:sz w:val="30"/>
          <w:szCs w:val="30"/>
          <w:lang w:val="en-US" w:eastAsia="zh-CN"/>
        </w:rPr>
        <w:t>市场</w:t>
      </w:r>
      <w:r>
        <w:rPr>
          <w:rFonts w:hint="eastAsia" w:ascii="仿宋" w:hAnsi="仿宋" w:eastAsia="仿宋" w:cs="仿宋_GB2312"/>
          <w:color w:val="16181D"/>
          <w:kern w:val="0"/>
          <w:sz w:val="30"/>
          <w:szCs w:val="30"/>
        </w:rPr>
        <w:t>交易商协会（以下简称“交易商协会”）</w:t>
      </w:r>
      <w:r>
        <w:rPr>
          <w:rFonts w:hint="eastAsia" w:ascii="仿宋" w:hAnsi="仿宋" w:eastAsia="仿宋" w:cs="仿宋_GB2312"/>
          <w:color w:val="16181D"/>
          <w:kern w:val="0"/>
          <w:sz w:val="30"/>
          <w:szCs w:val="30"/>
          <w:lang w:val="en-US" w:eastAsia="zh-CN"/>
        </w:rPr>
        <w:t>非公开定向</w:t>
      </w:r>
      <w:r>
        <w:rPr>
          <w:rFonts w:hint="eastAsia" w:ascii="仿宋" w:hAnsi="仿宋" w:eastAsia="仿宋"/>
          <w:sz w:val="30"/>
          <w:szCs w:val="30"/>
          <w:lang w:val="en-US" w:eastAsia="zh-CN"/>
        </w:rPr>
        <w:t>债务融资工具</w:t>
      </w:r>
      <w:r>
        <w:rPr>
          <w:rFonts w:hint="eastAsia" w:ascii="仿宋" w:hAnsi="仿宋" w:eastAsia="仿宋" w:cs="仿宋_GB2312"/>
          <w:color w:val="16181D"/>
          <w:kern w:val="0"/>
          <w:sz w:val="30"/>
          <w:szCs w:val="30"/>
        </w:rPr>
        <w:t>（以下简称</w:t>
      </w:r>
      <w:r>
        <w:rPr>
          <w:rFonts w:hint="eastAsia" w:ascii="仿宋" w:hAnsi="仿宋" w:eastAsia="仿宋" w:cs="仿宋_GB2312"/>
          <w:color w:val="16181D"/>
          <w:kern w:val="0"/>
          <w:sz w:val="30"/>
          <w:szCs w:val="30"/>
          <w:lang w:val="en-US" w:eastAsia="zh-CN"/>
        </w:rPr>
        <w:t>“PPN”</w:t>
      </w:r>
      <w:r>
        <w:rPr>
          <w:rFonts w:hint="eastAsia" w:ascii="仿宋" w:hAnsi="仿宋" w:eastAsia="仿宋" w:cs="仿宋_GB2312"/>
          <w:color w:val="16181D"/>
          <w:kern w:val="0"/>
          <w:sz w:val="30"/>
          <w:szCs w:val="30"/>
        </w:rPr>
        <w:t>）发行主承销商，由其负责我公司2</w:t>
      </w:r>
      <w:r>
        <w:rPr>
          <w:rFonts w:ascii="仿宋" w:hAnsi="仿宋" w:eastAsia="仿宋" w:cs="仿宋_GB2312"/>
          <w:color w:val="16181D"/>
          <w:kern w:val="0"/>
          <w:sz w:val="30"/>
          <w:szCs w:val="30"/>
        </w:rPr>
        <w:t>02</w:t>
      </w:r>
      <w:r>
        <w:rPr>
          <w:rFonts w:hint="eastAsia" w:ascii="仿宋" w:hAnsi="仿宋" w:eastAsia="仿宋" w:cs="仿宋_GB2312"/>
          <w:color w:val="16181D"/>
          <w:kern w:val="0"/>
          <w:sz w:val="30"/>
          <w:szCs w:val="30"/>
          <w:lang w:val="en-US" w:eastAsia="zh-CN"/>
        </w:rPr>
        <w:t>3</w:t>
      </w:r>
      <w:r>
        <w:rPr>
          <w:rFonts w:ascii="仿宋" w:hAnsi="仿宋" w:eastAsia="仿宋" w:cs="仿宋_GB2312"/>
          <w:color w:val="16181D"/>
          <w:kern w:val="0"/>
          <w:sz w:val="30"/>
          <w:szCs w:val="30"/>
        </w:rPr>
        <w:t>年度</w:t>
      </w:r>
      <w:r>
        <w:rPr>
          <w:rFonts w:hint="eastAsia" w:ascii="仿宋" w:hAnsi="仿宋" w:eastAsia="仿宋" w:cs="仿宋_GB2312"/>
          <w:color w:val="16181D"/>
          <w:kern w:val="0"/>
          <w:sz w:val="30"/>
          <w:szCs w:val="30"/>
          <w:lang w:val="en-US" w:eastAsia="zh-CN"/>
        </w:rPr>
        <w:t>PPN</w:t>
      </w:r>
      <w:r>
        <w:rPr>
          <w:rFonts w:hint="eastAsia" w:ascii="仿宋" w:hAnsi="仿宋" w:eastAsia="仿宋" w:cs="仿宋_GB2312"/>
          <w:color w:val="16181D"/>
          <w:kern w:val="0"/>
          <w:sz w:val="30"/>
          <w:szCs w:val="30"/>
        </w:rPr>
        <w:t>发行工作，现就有关事宜告知如下: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w:t>
      </w:r>
      <w:r>
        <w:rPr>
          <w:rFonts w:hint="eastAsia" w:ascii="仿宋" w:hAnsi="仿宋" w:eastAsia="仿宋" w:cs="仿宋_GB2312"/>
          <w:color w:val="16181D"/>
          <w:kern w:val="0"/>
          <w:sz w:val="30"/>
          <w:szCs w:val="30"/>
        </w:rPr>
        <w:t>交易商协会</w:t>
      </w:r>
      <w:r>
        <w:rPr>
          <w:rFonts w:hint="eastAsia" w:ascii="仿宋" w:hAnsi="仿宋" w:eastAsia="仿宋" w:cs="仿宋_GB2312"/>
          <w:kern w:val="0"/>
          <w:sz w:val="30"/>
          <w:szCs w:val="30"/>
          <w:lang w:val="en-US" w:eastAsia="zh-CN"/>
        </w:rPr>
        <w:t>PPN</w:t>
      </w:r>
      <w:r>
        <w:rPr>
          <w:rFonts w:hint="eastAsia" w:ascii="仿宋" w:hAnsi="仿宋" w:eastAsia="仿宋" w:cs="仿宋_GB2312"/>
          <w:kern w:val="0"/>
          <w:sz w:val="30"/>
          <w:szCs w:val="30"/>
        </w:rPr>
        <w:t>主承销商项目。</w:t>
      </w:r>
    </w:p>
    <w:p>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（二）招标范围：根据招标人要求，完成招标人202</w:t>
      </w:r>
      <w:r>
        <w:rPr>
          <w:rFonts w:hint="eastAsia" w:ascii="仿宋" w:hAnsi="仿宋" w:eastAsia="仿宋" w:cs="仿宋"/>
          <w:kern w:val="0"/>
          <w:sz w:val="30"/>
          <w:szCs w:val="30"/>
          <w:lang w:val="en-US" w:eastAsia="zh-CN"/>
        </w:rPr>
        <w:t>3</w:t>
      </w:r>
      <w:r>
        <w:rPr>
          <w:rFonts w:hint="eastAsia" w:ascii="仿宋" w:hAnsi="仿宋" w:eastAsia="仿宋" w:cs="仿宋"/>
          <w:kern w:val="0"/>
          <w:sz w:val="30"/>
          <w:szCs w:val="30"/>
        </w:rPr>
        <w:t>年度</w:t>
      </w:r>
      <w:r>
        <w:rPr>
          <w:rFonts w:hint="eastAsia" w:ascii="仿宋" w:hAnsi="仿宋" w:eastAsia="仿宋" w:cs="仿宋"/>
          <w:color w:val="16181D"/>
          <w:kern w:val="0"/>
          <w:sz w:val="30"/>
          <w:szCs w:val="30"/>
        </w:rPr>
        <w:t>交易商协会</w:t>
      </w:r>
      <w:r>
        <w:rPr>
          <w:rFonts w:hint="eastAsia" w:ascii="仿宋" w:hAnsi="仿宋" w:eastAsia="仿宋" w:cs="仿宋"/>
          <w:color w:val="16181D"/>
          <w:kern w:val="0"/>
          <w:sz w:val="30"/>
          <w:szCs w:val="30"/>
          <w:lang w:val="en-US" w:eastAsia="zh-CN"/>
        </w:rPr>
        <w:t>PPN</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（三）发行规模：</w:t>
      </w:r>
      <w:r>
        <w:rPr>
          <w:rFonts w:hint="eastAsia" w:ascii="仿宋" w:hAnsi="仿宋" w:eastAsia="仿宋"/>
          <w:kern w:val="0"/>
          <w:sz w:val="32"/>
          <w:szCs w:val="32"/>
        </w:rPr>
        <w:t>拟发行规模不超过</w:t>
      </w:r>
      <w:r>
        <w:rPr>
          <w:rFonts w:hint="eastAsia" w:ascii="仿宋" w:hAnsi="仿宋" w:eastAsia="仿宋"/>
          <w:kern w:val="0"/>
          <w:sz w:val="32"/>
          <w:szCs w:val="32"/>
          <w:lang w:val="en-US" w:eastAsia="zh-CN"/>
        </w:rPr>
        <w:t>20</w:t>
      </w:r>
      <w:r>
        <w:rPr>
          <w:rFonts w:hint="eastAsia" w:ascii="仿宋" w:hAnsi="仿宋" w:eastAsia="仿宋"/>
          <w:kern w:val="0"/>
          <w:sz w:val="32"/>
          <w:szCs w:val="32"/>
        </w:rPr>
        <w:t>亿元。</w:t>
      </w:r>
    </w:p>
    <w:p>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（四）债券期限：不超过5年，最终期限以</w:t>
      </w:r>
      <w:r>
        <w:rPr>
          <w:rFonts w:ascii="仿宋" w:hAnsi="仿宋" w:eastAsia="仿宋" w:cs="仿宋_GB2312"/>
          <w:kern w:val="0"/>
          <w:sz w:val="30"/>
          <w:szCs w:val="30"/>
        </w:rPr>
        <w:t>交易商协会</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kern w:val="0"/>
          <w:sz w:val="30"/>
          <w:szCs w:val="30"/>
          <w:lang w:eastAsia="zh-CN"/>
        </w:rPr>
        <w:t>PPN</w:t>
      </w:r>
      <w:r>
        <w:rPr>
          <w:rFonts w:hint="eastAsia" w:ascii="仿宋" w:hAnsi="仿宋" w:eastAsia="仿宋" w:cs="仿宋_GB2312"/>
          <w:kern w:val="0"/>
          <w:sz w:val="30"/>
          <w:szCs w:val="30"/>
        </w:rPr>
        <w:t>发行及偿还完毕为止。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lang w:eastAsia="zh-CN"/>
        </w:rPr>
        <w:t>PPN</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pPr>
        <w:pStyle w:val="8"/>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（九）承销费用：固定承销费用。</w:t>
      </w:r>
    </w:p>
    <w:p>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rPr>
        <w:t>）交易商协会公布《非金融企业债务融资工具承销机构名单》具有主承销商资格的机构；</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（四）具有良好的信誉、经营业绩和执业记录，并且最近三年内没有重大违法、违规行为；</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（五）为确保招标人现有存续债券发行质量，本次不再接受与招标人有存续</w:t>
      </w:r>
      <w:r>
        <w:rPr>
          <w:rFonts w:hint="eastAsia" w:ascii="仿宋" w:hAnsi="仿宋" w:eastAsia="仿宋" w:cs="仿宋_GB2312"/>
          <w:color w:val="16181D"/>
          <w:kern w:val="0"/>
          <w:sz w:val="30"/>
          <w:szCs w:val="30"/>
          <w:lang w:val="en-US" w:eastAsia="zh-CN"/>
        </w:rPr>
        <w:t>批文</w:t>
      </w:r>
      <w:bookmarkStart w:id="0" w:name="_GoBack"/>
      <w:bookmarkEnd w:id="0"/>
      <w:r>
        <w:rPr>
          <w:rFonts w:hint="eastAsia" w:ascii="仿宋" w:hAnsi="仿宋" w:eastAsia="仿宋" w:cs="仿宋_GB2312"/>
          <w:color w:val="16181D"/>
          <w:kern w:val="0"/>
          <w:sz w:val="30"/>
          <w:szCs w:val="30"/>
          <w:lang w:val="en-US" w:eastAsia="zh-CN"/>
        </w:rPr>
        <w:t>未发行完毕的</w:t>
      </w:r>
      <w:r>
        <w:rPr>
          <w:rFonts w:hint="eastAsia" w:ascii="仿宋" w:hAnsi="仿宋" w:eastAsia="仿宋" w:cs="仿宋_GB2312"/>
          <w:color w:val="16181D"/>
          <w:kern w:val="0"/>
          <w:sz w:val="30"/>
          <w:szCs w:val="30"/>
        </w:rPr>
        <w:t>机构投标。</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（六）本项目不接受联合体投标。</w:t>
      </w:r>
    </w:p>
    <w:p>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三、 招标申请文件原件递交截止时间及地点</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（一）报名日期：</w:t>
      </w: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hint="eastAsia" w:ascii="仿宋" w:hAnsi="仿宋" w:eastAsia="仿宋" w:cs="仿宋_GB2312"/>
          <w:color w:val="000000" w:themeColor="text1"/>
          <w:kern w:val="0"/>
          <w:sz w:val="30"/>
          <w:szCs w:val="30"/>
        </w:rPr>
        <w:t>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9</w:t>
      </w:r>
      <w:r>
        <w:rPr>
          <w:rFonts w:hint="eastAsia" w:ascii="仿宋" w:hAnsi="仿宋" w:eastAsia="仿宋" w:cs="仿宋_GB2312"/>
          <w:color w:val="000000" w:themeColor="text1"/>
          <w:kern w:val="0"/>
          <w:sz w:val="30"/>
          <w:szCs w:val="30"/>
        </w:rPr>
        <w:t>日起至</w:t>
      </w: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hint="eastAsia" w:ascii="仿宋" w:hAnsi="仿宋" w:eastAsia="仿宋" w:cs="仿宋_GB2312"/>
          <w:color w:val="000000" w:themeColor="text1"/>
          <w:kern w:val="0"/>
          <w:sz w:val="30"/>
          <w:szCs w:val="30"/>
        </w:rPr>
        <w:t>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15</w:t>
      </w:r>
      <w:r>
        <w:rPr>
          <w:rFonts w:ascii="仿宋" w:hAnsi="仿宋" w:eastAsia="仿宋" w:cs="仿宋_GB2312"/>
          <w:color w:val="000000" w:themeColor="text1"/>
          <w:kern w:val="0"/>
          <w:sz w:val="30"/>
          <w:szCs w:val="30"/>
        </w:rPr>
        <w:t>日止</w:t>
      </w:r>
      <w:r>
        <w:rPr>
          <w:rFonts w:hint="eastAsia" w:ascii="仿宋" w:hAnsi="仿宋" w:eastAsia="仿宋" w:cs="仿宋_GB2312"/>
          <w:color w:val="000000" w:themeColor="text1"/>
          <w:kern w:val="0"/>
          <w:sz w:val="30"/>
          <w:szCs w:val="30"/>
        </w:rPr>
        <w:t>。逾期未报名，不予受理。</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（二）招标公告发布方式：</w:t>
      </w:r>
      <w:r>
        <w:rPr>
          <w:rFonts w:hint="eastAsia" w:ascii="仿宋" w:hAnsi="仿宋" w:eastAsia="仿宋" w:cs="仿宋_GB2312"/>
          <w:color w:val="000000" w:themeColor="text1"/>
          <w:kern w:val="0"/>
          <w:sz w:val="30"/>
          <w:szCs w:val="30"/>
        </w:rPr>
        <w:t>本次招标公告将在许昌市投资集团有限公司网站（http://www.xcstzzgs.cn/）、许昌日报上发布。</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（三）招标文件获取：</w:t>
      </w:r>
      <w:r>
        <w:rPr>
          <w:rFonts w:hint="eastAsia" w:ascii="仿宋" w:hAnsi="仿宋" w:eastAsia="仿宋" w:cs="仿宋_GB2312"/>
          <w:color w:val="000000" w:themeColor="text1"/>
          <w:kern w:val="0"/>
          <w:sz w:val="30"/>
          <w:szCs w:val="30"/>
        </w:rPr>
        <w:t>招标文件请到许昌市投资集团有限公司网站（http://www.xcstzzgs.cn/）下载。</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（四）资料提交截止日期：</w:t>
      </w: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hint="eastAsia" w:ascii="仿宋" w:hAnsi="仿宋" w:eastAsia="仿宋" w:cs="仿宋_GB2312"/>
          <w:color w:val="000000" w:themeColor="text1"/>
          <w:kern w:val="0"/>
          <w:sz w:val="30"/>
          <w:szCs w:val="30"/>
        </w:rPr>
        <w:t>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15</w:t>
      </w:r>
      <w:r>
        <w:rPr>
          <w:rFonts w:ascii="仿宋" w:hAnsi="仿宋" w:eastAsia="仿宋" w:cs="仿宋_GB2312"/>
          <w:color w:val="000000" w:themeColor="text1"/>
          <w:kern w:val="0"/>
          <w:sz w:val="30"/>
          <w:szCs w:val="30"/>
        </w:rPr>
        <w:t>日</w:t>
      </w:r>
      <w:r>
        <w:rPr>
          <w:rFonts w:hint="eastAsia" w:ascii="仿宋" w:hAnsi="仿宋" w:eastAsia="仿宋" w:cs="仿宋_GB2312"/>
          <w:color w:val="000000" w:themeColor="text1"/>
          <w:kern w:val="0"/>
          <w:sz w:val="30"/>
          <w:szCs w:val="30"/>
          <w:lang w:val="en-US" w:eastAsia="zh-CN"/>
        </w:rPr>
        <w:t>16</w:t>
      </w:r>
      <w:r>
        <w:rPr>
          <w:rFonts w:ascii="仿宋" w:hAnsi="仿宋" w:eastAsia="仿宋" w:cs="仿宋_GB2312"/>
          <w:color w:val="000000" w:themeColor="text1"/>
          <w:kern w:val="0"/>
          <w:sz w:val="30"/>
          <w:szCs w:val="30"/>
        </w:rPr>
        <w:t>时</w:t>
      </w:r>
      <w:r>
        <w:rPr>
          <w:rFonts w:hint="eastAsia" w:ascii="仿宋" w:hAnsi="仿宋" w:eastAsia="仿宋" w:cs="仿宋_GB2312"/>
          <w:color w:val="000000" w:themeColor="text1"/>
          <w:kern w:val="0"/>
          <w:sz w:val="30"/>
          <w:szCs w:val="30"/>
        </w:rPr>
        <w:t>，采用邮寄方式的以收到时间为准。</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（五）资料提交地点：</w:t>
      </w:r>
      <w:r>
        <w:rPr>
          <w:rFonts w:hint="eastAsia" w:ascii="仿宋" w:hAnsi="仿宋" w:eastAsia="仿宋" w:cs="仿宋_GB2312"/>
          <w:color w:val="000000" w:themeColor="text1"/>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（六）资料提交方式</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1、现场递交。</w:t>
      </w:r>
      <w:r>
        <w:rPr>
          <w:rFonts w:hint="eastAsia" w:ascii="仿宋" w:hAnsi="仿宋" w:eastAsia="仿宋" w:cs="仿宋_GB2312"/>
          <w:color w:val="000000" w:themeColor="text1"/>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2、邮寄方式。</w:t>
      </w:r>
      <w:r>
        <w:rPr>
          <w:rFonts w:hint="eastAsia" w:ascii="仿宋" w:hAnsi="仿宋" w:eastAsia="仿宋" w:cs="仿宋_GB2312"/>
          <w:color w:val="000000" w:themeColor="text1"/>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 xml:space="preserve"> 3、联系人：</w:t>
      </w:r>
      <w:r>
        <w:rPr>
          <w:rFonts w:hint="eastAsia" w:ascii="仿宋" w:hAnsi="仿宋" w:eastAsia="仿宋" w:cs="仿宋_GB2312"/>
          <w:color w:val="000000" w:themeColor="text1"/>
          <w:kern w:val="0"/>
          <w:sz w:val="30"/>
          <w:szCs w:val="30"/>
        </w:rPr>
        <w:t xml:space="preserve">范女士   </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电话</w:t>
      </w:r>
      <w:r>
        <w:rPr>
          <w:rFonts w:hint="eastAsia" w:ascii="仿宋" w:hAnsi="仿宋" w:eastAsia="仿宋" w:cs="仿宋_GB2312"/>
          <w:color w:val="000000" w:themeColor="text1"/>
          <w:kern w:val="0"/>
          <w:sz w:val="30"/>
          <w:szCs w:val="30"/>
        </w:rPr>
        <w:t>: 0374-267</w:t>
      </w:r>
      <w:r>
        <w:rPr>
          <w:rFonts w:hint="eastAsia" w:ascii="仿宋" w:hAnsi="仿宋" w:eastAsia="仿宋" w:cs="仿宋_GB2312"/>
          <w:color w:val="000000" w:themeColor="text1"/>
          <w:kern w:val="0"/>
          <w:sz w:val="30"/>
          <w:szCs w:val="30"/>
          <w:lang w:val="en-US" w:eastAsia="zh-CN"/>
        </w:rPr>
        <w:t>6560</w:t>
      </w:r>
    </w:p>
    <w:p>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传真</w:t>
      </w:r>
      <w:r>
        <w:rPr>
          <w:rFonts w:hint="eastAsia" w:ascii="仿宋" w:hAnsi="仿宋" w:eastAsia="仿宋" w:cs="仿宋_GB2312"/>
          <w:color w:val="000000" w:themeColor="text1"/>
          <w:kern w:val="0"/>
          <w:sz w:val="30"/>
          <w:szCs w:val="30"/>
        </w:rPr>
        <w:t>：0374-2676539</w:t>
      </w:r>
    </w:p>
    <w:p>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p>
    <w:p>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许昌市投资集团有限公司</w:t>
      </w:r>
    </w:p>
    <w:p>
      <w:pPr>
        <w:spacing w:line="600" w:lineRule="exact"/>
        <w:ind w:firstLine="600" w:firstLineChars="200"/>
        <w:jc w:val="right"/>
        <w:rPr>
          <w:rFonts w:ascii="仿宋" w:hAnsi="仿宋" w:eastAsia="仿宋" w:cs="仿宋_GB2312"/>
          <w:color w:val="000000" w:themeColor="text1"/>
          <w:kern w:val="0"/>
          <w:sz w:val="30"/>
          <w:szCs w:val="30"/>
        </w:rPr>
      </w:pPr>
      <w:r>
        <w:rPr>
          <w:rFonts w:ascii="仿宋" w:hAnsi="仿宋" w:eastAsia="仿宋" w:cs="仿宋_GB2312"/>
          <w:color w:val="000000" w:themeColor="text1"/>
          <w:kern w:val="0"/>
          <w:sz w:val="30"/>
          <w:szCs w:val="30"/>
        </w:rPr>
        <w:t>202</w:t>
      </w:r>
      <w:r>
        <w:rPr>
          <w:rFonts w:hint="eastAsia" w:ascii="仿宋" w:hAnsi="仿宋" w:eastAsia="仿宋" w:cs="仿宋_GB2312"/>
          <w:color w:val="000000" w:themeColor="text1"/>
          <w:kern w:val="0"/>
          <w:sz w:val="30"/>
          <w:szCs w:val="30"/>
          <w:lang w:val="en-US" w:eastAsia="zh-CN"/>
        </w:rPr>
        <w:t>3</w:t>
      </w:r>
      <w:r>
        <w:rPr>
          <w:rFonts w:ascii="仿宋" w:hAnsi="仿宋" w:eastAsia="仿宋" w:cs="仿宋_GB2312"/>
          <w:color w:val="000000" w:themeColor="text1"/>
          <w:kern w:val="0"/>
          <w:sz w:val="30"/>
          <w:szCs w:val="30"/>
        </w:rPr>
        <w:t xml:space="preserve"> 年</w:t>
      </w:r>
      <w:r>
        <w:rPr>
          <w:rFonts w:hint="eastAsia" w:ascii="仿宋" w:hAnsi="仿宋" w:eastAsia="仿宋" w:cs="仿宋_GB2312"/>
          <w:color w:val="000000" w:themeColor="text1"/>
          <w:kern w:val="0"/>
          <w:sz w:val="30"/>
          <w:szCs w:val="30"/>
          <w:lang w:val="en-US" w:eastAsia="zh-CN"/>
        </w:rPr>
        <w:t>5</w:t>
      </w:r>
      <w:r>
        <w:rPr>
          <w:rFonts w:ascii="仿宋" w:hAnsi="仿宋" w:eastAsia="仿宋" w:cs="仿宋_GB2312"/>
          <w:color w:val="000000" w:themeColor="text1"/>
          <w:kern w:val="0"/>
          <w:sz w:val="30"/>
          <w:szCs w:val="30"/>
        </w:rPr>
        <w:t>月</w:t>
      </w:r>
      <w:r>
        <w:rPr>
          <w:rFonts w:hint="eastAsia" w:ascii="仿宋" w:hAnsi="仿宋" w:eastAsia="仿宋" w:cs="仿宋_GB2312"/>
          <w:color w:val="000000" w:themeColor="text1"/>
          <w:kern w:val="0"/>
          <w:sz w:val="30"/>
          <w:szCs w:val="30"/>
          <w:lang w:val="en-US" w:eastAsia="zh-CN"/>
        </w:rPr>
        <w:t>9</w:t>
      </w:r>
      <w:r>
        <w:rPr>
          <w:rFonts w:hint="eastAsia" w:ascii="仿宋" w:hAnsi="仿宋" w:eastAsia="仿宋" w:cs="仿宋_GB2312"/>
          <w:color w:val="000000" w:themeColor="text1"/>
          <w:kern w:val="0"/>
          <w:sz w:val="30"/>
          <w:szCs w:val="30"/>
        </w:rPr>
        <w:t>日</w:t>
      </w:r>
    </w:p>
    <w:p>
      <w:pPr>
        <w:spacing w:line="600" w:lineRule="exact"/>
        <w:ind w:firstLine="600" w:firstLineChars="200"/>
        <w:jc w:val="right"/>
        <w:rPr>
          <w:rFonts w:ascii="仿宋" w:hAnsi="仿宋" w:eastAsia="仿宋" w:cs="仿宋_GB2312"/>
          <w:color w:val="000000" w:themeColor="text1"/>
          <w:kern w:val="0"/>
          <w:sz w:val="30"/>
          <w:szCs w:val="30"/>
        </w:rPr>
      </w:pP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hint="eastAsia" w:ascii="仿宋" w:hAnsi="仿宋" w:eastAsia="仿宋" w:cs="仿宋"/>
          <w:sz w:val="30"/>
          <w:szCs w:val="30"/>
          <w:lang w:val="en-US" w:eastAsia="zh-CN"/>
        </w:rPr>
        <w:t>3</w:t>
      </w:r>
      <w:r>
        <w:rPr>
          <w:rFonts w:hint="eastAsia" w:ascii="仿宋" w:hAnsi="仿宋" w:eastAsia="仿宋" w:cs="仿宋"/>
          <w:sz w:val="30"/>
          <w:szCs w:val="30"/>
        </w:rPr>
        <w:t>年度资本市场债券发行工作已由相关部门批准实施，具备招标条件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(一)招标人设置的本招标项目年化承销费率最高限价为</w:t>
      </w:r>
      <w:r>
        <w:rPr>
          <w:rFonts w:hint="eastAsia" w:ascii="仿宋" w:hAnsi="仿宋" w:eastAsia="仿宋" w:cs="仿宋_GB2312"/>
          <w:color w:val="000000" w:themeColor="text1"/>
          <w:kern w:val="0"/>
          <w:sz w:val="30"/>
          <w:szCs w:val="30"/>
        </w:rPr>
        <w:t>0.15%，</w:t>
      </w:r>
      <w:r>
        <w:rPr>
          <w:rFonts w:hint="eastAsia" w:ascii="仿宋" w:hAnsi="仿宋" w:eastAsia="仿宋" w:cs="仿宋_GB2312"/>
          <w:color w:val="13151A"/>
          <w:kern w:val="0"/>
          <w:sz w:val="30"/>
          <w:szCs w:val="30"/>
        </w:rPr>
        <w:t>投标申请人所报价格不得超过该限价，否则视同无效。</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(三)投标申请人所报价格为承销费用中的固定部分，应包括完成本招标项目约定的服务工作所发生的直接费用、其它费用以及管理费、利润、风险费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w:t>
      </w:r>
      <w:r>
        <w:rPr>
          <w:rFonts w:hint="eastAsia" w:ascii="仿宋" w:hAnsi="仿宋" w:eastAsia="仿宋" w:cs="仿宋_GB2312"/>
          <w:color w:val="15171C"/>
          <w:kern w:val="0"/>
          <w:sz w:val="30"/>
          <w:szCs w:val="30"/>
          <w:lang w:eastAsia="zh-CN"/>
        </w:rPr>
        <w:t>PPN</w:t>
      </w:r>
      <w:r>
        <w:rPr>
          <w:rFonts w:hint="eastAsia" w:ascii="仿宋" w:hAnsi="仿宋" w:eastAsia="仿宋" w:cs="仿宋_GB2312"/>
          <w:color w:val="15171C"/>
          <w:kern w:val="0"/>
          <w:sz w:val="30"/>
          <w:szCs w:val="30"/>
        </w:rPr>
        <w:t>招标活动。</w:t>
      </w:r>
    </w:p>
    <w:p>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spacing w:line="360" w:lineRule="auto"/>
        <w:ind w:firstLine="420" w:firstLineChars="200"/>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2"/>
        <w:rPr>
          <w:rFonts w:ascii="仿宋_GB2312" w:hAnsi="仿宋" w:eastAsia="仿宋_GB2312"/>
        </w:rPr>
      </w:pPr>
    </w:p>
    <w:p>
      <w:pPr>
        <w:pStyle w:val="46"/>
        <w:pageBreakBefore/>
        <w:spacing w:line="360" w:lineRule="auto"/>
        <w:ind w:right="-210" w:rightChars="-100"/>
        <w:jc w:val="center"/>
        <w:rPr>
          <w:b/>
          <w:bCs/>
        </w:rPr>
      </w:pPr>
      <w:r>
        <w:rPr>
          <w:rFonts w:hint="eastAsia"/>
          <w:b/>
          <w:bCs/>
        </w:rPr>
        <w:t>详细评审表</w:t>
      </w:r>
    </w:p>
    <w:tbl>
      <w:tblPr>
        <w:tblStyle w:val="17"/>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vAlign w:val="center"/>
          </w:tcPr>
          <w:p>
            <w:pPr>
              <w:widowControl/>
              <w:jc w:val="center"/>
              <w:rPr>
                <w:rFonts w:hint="eastAsia" w:eastAsia="宋体"/>
                <w:b/>
                <w:bCs/>
                <w:lang w:eastAsia="zh-CN"/>
              </w:rPr>
            </w:pPr>
            <w:r>
              <w:rPr>
                <w:b/>
                <w:bCs/>
              </w:rPr>
              <w:t>分值构成</w:t>
            </w:r>
          </w:p>
          <w:p>
            <w:pPr>
              <w:widowControl/>
              <w:jc w:val="center"/>
              <w:rPr>
                <w:b/>
                <w:bCs/>
              </w:rPr>
            </w:pPr>
            <w:r>
              <w:rPr>
                <w:b/>
                <w:bCs/>
              </w:rPr>
              <w:t>（总分100分）</w:t>
            </w:r>
          </w:p>
        </w:tc>
        <w:tc>
          <w:tcPr>
            <w:tcW w:w="7044" w:type="dxa"/>
            <w:gridSpan w:val="2"/>
            <w:tcBorders>
              <w:tl2br w:val="nil"/>
              <w:tr2bl w:val="nil"/>
            </w:tcBorders>
            <w:vAlign w:val="center"/>
          </w:tcPr>
          <w:p>
            <w:pPr>
              <w:widowControl/>
              <w:jc w:val="center"/>
              <w:rPr>
                <w:b/>
                <w:bCs/>
              </w:rPr>
            </w:pPr>
            <w:r>
              <w:rPr>
                <w:b/>
                <w:bCs/>
              </w:rPr>
              <w:t>价格部分：</w:t>
            </w:r>
            <w:r>
              <w:rPr>
                <w:rFonts w:hint="eastAsia"/>
                <w:b/>
                <w:bCs/>
                <w:lang w:val="en-US" w:eastAsia="zh-CN"/>
              </w:rPr>
              <w:t>10</w:t>
            </w:r>
            <w:r>
              <w:rPr>
                <w:b/>
                <w:bCs/>
              </w:rPr>
              <w:t>分</w:t>
            </w:r>
          </w:p>
          <w:p>
            <w:pPr>
              <w:widowControl/>
              <w:jc w:val="center"/>
              <w:rPr>
                <w:b/>
                <w:bCs/>
              </w:rPr>
            </w:pPr>
            <w:r>
              <w:rPr>
                <w:b/>
                <w:bCs/>
              </w:rPr>
              <w:t>技术部分：</w:t>
            </w:r>
            <w:r>
              <w:rPr>
                <w:rFonts w:hint="eastAsia"/>
                <w:b/>
                <w:bCs/>
                <w:lang w:val="en-US" w:eastAsia="zh-CN"/>
              </w:rPr>
              <w:t>45</w:t>
            </w:r>
            <w:r>
              <w:rPr>
                <w:b/>
                <w:bCs/>
              </w:rPr>
              <w:t>分</w:t>
            </w:r>
          </w:p>
          <w:p>
            <w:pPr>
              <w:jc w:val="center"/>
              <w:rPr>
                <w:b/>
                <w:bCs/>
              </w:rPr>
            </w:pPr>
            <w:r>
              <w:rPr>
                <w:b/>
                <w:bCs/>
              </w:rPr>
              <w:t>商务部分：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vAlign w:val="center"/>
          </w:tcPr>
          <w:p>
            <w:pPr>
              <w:widowControl/>
              <w:jc w:val="center"/>
              <w:rPr>
                <w:b/>
                <w:bCs/>
              </w:rPr>
            </w:pPr>
            <w:r>
              <w:rPr>
                <w:b/>
                <w:bCs/>
              </w:rPr>
              <w:t>（1） 价格部分（满分</w:t>
            </w:r>
            <w:r>
              <w:rPr>
                <w:rFonts w:hint="eastAsia"/>
                <w:b/>
                <w:bCs/>
                <w:lang w:val="en-US" w:eastAsia="zh-CN"/>
              </w:rPr>
              <w:t>10</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vAlign w:val="center"/>
          </w:tcPr>
          <w:p>
            <w:pPr>
              <w:widowControl/>
              <w:spacing w:line="360" w:lineRule="atLeast"/>
              <w:jc w:val="center"/>
            </w:pPr>
            <w:r>
              <w:rPr>
                <w:rFonts w:hint="eastAsia"/>
              </w:rPr>
              <w:t>价格部分</w:t>
            </w:r>
          </w:p>
        </w:tc>
        <w:tc>
          <w:tcPr>
            <w:tcW w:w="5954" w:type="dxa"/>
            <w:tcBorders>
              <w:tl2br w:val="nil"/>
              <w:tr2bl w:val="nil"/>
            </w:tcBorders>
            <w:vAlign w:val="center"/>
          </w:tcPr>
          <w:p>
            <w:pPr>
              <w:pStyle w:val="8"/>
              <w:rPr>
                <w:rFonts w:hint="eastAsia"/>
                <w:lang w:val="en-US" w:eastAsia="zh-CN"/>
              </w:rPr>
            </w:pPr>
            <w:r>
              <w:rPr>
                <w:rFonts w:hint="eastAsia"/>
                <w:lang w:eastAsia="zh-CN"/>
              </w:rPr>
              <w:t>该报价为上文</w:t>
            </w:r>
            <w:r>
              <w:rPr>
                <w:rFonts w:hint="eastAsia"/>
                <w:lang w:val="en-US" w:eastAsia="zh-CN"/>
              </w:rPr>
              <w:t>P2“一（九）”所述固定承销费用。</w:t>
            </w:r>
          </w:p>
          <w:p>
            <w:pPr>
              <w:pStyle w:val="8"/>
              <w:rPr>
                <w:rFonts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vAlign w:val="center"/>
          </w:tcPr>
          <w:p>
            <w:pPr>
              <w:widowControl/>
              <w:jc w:val="center"/>
              <w:rPr>
                <w:b/>
                <w:bCs/>
              </w:rPr>
            </w:pPr>
            <w:r>
              <w:rPr>
                <w:b/>
                <w:bCs/>
              </w:rPr>
              <w:t>（2）技术部分（满分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vAlign w:val="center"/>
          </w:tcPr>
          <w:p>
            <w:pPr>
              <w:widowControl/>
              <w:jc w:val="center"/>
              <w:rPr>
                <w:b/>
                <w:bCs/>
              </w:rPr>
            </w:pPr>
            <w:r>
              <w:rPr>
                <w:b/>
                <w:bCs/>
              </w:rPr>
              <w:t>评分因素</w:t>
            </w:r>
          </w:p>
        </w:tc>
        <w:tc>
          <w:tcPr>
            <w:tcW w:w="5954" w:type="dxa"/>
            <w:tcBorders>
              <w:tl2br w:val="nil"/>
              <w:tr2bl w:val="nil"/>
            </w:tcBorders>
            <w:vAlign w:val="center"/>
          </w:tcPr>
          <w:p>
            <w:pPr>
              <w:widowControl/>
              <w:jc w:val="center"/>
              <w:rPr>
                <w:b/>
                <w:bCs/>
              </w:rPr>
            </w:pPr>
            <w:r>
              <w:rPr>
                <w:b/>
                <w:bCs/>
              </w:rPr>
              <w:t>评分标准</w:t>
            </w:r>
          </w:p>
        </w:tc>
        <w:tc>
          <w:tcPr>
            <w:tcW w:w="1090" w:type="dxa"/>
            <w:tcBorders>
              <w:tl2br w:val="nil"/>
              <w:tr2bl w:val="nil"/>
            </w:tcBorders>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lang w:eastAsia="zh-CN"/>
              </w:rPr>
              <w:t>承销方案</w:t>
            </w:r>
            <w:r>
              <w:t xml:space="preserve">   </w:t>
            </w:r>
          </w:p>
        </w:tc>
        <w:tc>
          <w:tcPr>
            <w:tcW w:w="5954" w:type="dxa"/>
            <w:tcBorders>
              <w:tl2br w:val="nil"/>
              <w:tr2bl w:val="nil"/>
            </w:tcBorders>
            <w:vAlign w:val="center"/>
          </w:tcPr>
          <w:p>
            <w:pPr>
              <w:pStyle w:val="8"/>
            </w:pPr>
            <w:r>
              <w:t>投标人设计的发行方案是否完善、合理。</w:t>
            </w:r>
            <w:r>
              <w:rPr>
                <w:rFonts w:hint="eastAsia"/>
                <w:lang w:eastAsia="zh-CN"/>
              </w:rPr>
              <w:t>包括但不限于以下要素</w:t>
            </w:r>
            <w:r>
              <w:t>：</w:t>
            </w:r>
          </w:p>
          <w:p>
            <w:pPr>
              <w:pStyle w:val="8"/>
            </w:pPr>
            <w:r>
              <w:rPr>
                <w:rFonts w:hint="eastAsia"/>
                <w:lang w:val="en-US" w:eastAsia="zh-CN"/>
              </w:rPr>
              <w:t>1</w:t>
            </w:r>
            <w:r>
              <w:t>、项目需重点关注问题及解决方案；</w:t>
            </w:r>
          </w:p>
          <w:p>
            <w:pPr>
              <w:pStyle w:val="8"/>
            </w:pPr>
            <w:r>
              <w:rPr>
                <w:rFonts w:hint="eastAsia"/>
                <w:lang w:val="en-US" w:eastAsia="zh-CN"/>
              </w:rPr>
              <w:t>2</w:t>
            </w:r>
            <w:r>
              <w:t>、</w:t>
            </w:r>
            <w:r>
              <w:rPr>
                <w:rFonts w:hint="eastAsia"/>
                <w:lang w:eastAsia="zh-CN"/>
              </w:rPr>
              <w:t>保障发行的措施</w:t>
            </w:r>
            <w:r>
              <w:t>：</w:t>
            </w:r>
          </w:p>
          <w:p>
            <w:pPr>
              <w:pStyle w:val="8"/>
            </w:pPr>
            <w:r>
              <w:rPr>
                <w:rFonts w:hint="eastAsia"/>
                <w:lang w:val="en-US" w:eastAsia="zh-CN"/>
              </w:rPr>
              <w:t>3</w:t>
            </w:r>
            <w:r>
              <w:t>、</w:t>
            </w:r>
            <w:r>
              <w:rPr>
                <w:rFonts w:hint="eastAsia"/>
                <w:lang w:eastAsia="zh-CN"/>
              </w:rPr>
              <w:t>如何提高项目注册效率</w:t>
            </w:r>
            <w:r>
              <w:t>；</w:t>
            </w:r>
          </w:p>
          <w:p>
            <w:pPr>
              <w:pStyle w:val="8"/>
            </w:pPr>
            <w:r>
              <w:rPr>
                <w:rFonts w:hint="eastAsia"/>
                <w:lang w:val="en-US" w:eastAsia="zh-CN"/>
              </w:rPr>
              <w:t>4</w:t>
            </w:r>
            <w:r>
              <w:t>、</w:t>
            </w:r>
            <w:r>
              <w:rPr>
                <w:rFonts w:hint="eastAsia"/>
                <w:lang w:eastAsia="zh-CN"/>
              </w:rPr>
              <w:t>降低发行成本的建议</w:t>
            </w:r>
            <w:r>
              <w:t>；</w:t>
            </w:r>
          </w:p>
          <w:p>
            <w:pPr>
              <w:pStyle w:val="8"/>
            </w:pPr>
            <w:r>
              <w:rPr>
                <w:rFonts w:hint="eastAsia"/>
                <w:lang w:val="en-US" w:eastAsia="zh-CN"/>
              </w:rPr>
              <w:t>5</w:t>
            </w:r>
            <w:r>
              <w:t>、项目进度时间安排；</w:t>
            </w:r>
          </w:p>
          <w:p>
            <w:pPr>
              <w:pStyle w:val="8"/>
            </w:pPr>
            <w:r>
              <w:rPr>
                <w:rFonts w:hint="eastAsia"/>
                <w:lang w:val="en-US" w:eastAsia="zh-CN"/>
              </w:rPr>
              <w:t>6</w:t>
            </w:r>
            <w:r>
              <w:t>、</w:t>
            </w:r>
            <w:r>
              <w:rPr>
                <w:rFonts w:hint="eastAsia"/>
                <w:lang w:eastAsia="zh-CN"/>
              </w:rPr>
              <w:t>投标人的优势</w:t>
            </w:r>
            <w:r>
              <w:t>；</w:t>
            </w:r>
          </w:p>
          <w:p>
            <w:pPr>
              <w:pStyle w:val="8"/>
            </w:pPr>
            <w:r>
              <w:rPr>
                <w:rFonts w:hint="eastAsia"/>
                <w:lang w:val="en-US" w:eastAsia="zh-CN"/>
              </w:rPr>
              <w:t>7</w:t>
            </w:r>
            <w:r>
              <w:t>、债券存续期服务安排；</w:t>
            </w:r>
          </w:p>
          <w:p>
            <w:pPr>
              <w:pStyle w:val="8"/>
            </w:pPr>
            <w:r>
              <w:rPr>
                <w:rFonts w:hint="eastAsia"/>
                <w:lang w:val="en-US" w:eastAsia="zh-CN"/>
              </w:rPr>
              <w:t>8</w:t>
            </w:r>
            <w:r>
              <w:t>、</w:t>
            </w:r>
            <w:r>
              <w:rPr>
                <w:rFonts w:hint="eastAsia"/>
                <w:lang w:eastAsia="zh-CN"/>
              </w:rPr>
              <w:t>其他服务性承诺</w:t>
            </w:r>
            <w:r>
              <w:t>。</w:t>
            </w:r>
          </w:p>
          <w:p>
            <w:pPr>
              <w:widowControl/>
              <w:jc w:val="left"/>
              <w:rPr>
                <w:rFonts w:hint="eastAsia"/>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vAlign w:val="center"/>
          </w:tcPr>
          <w:p>
            <w:pPr>
              <w:widowControl/>
              <w:jc w:val="center"/>
            </w:pPr>
            <w:r>
              <w:rPr>
                <w:rFonts w:hint="eastAsia"/>
                <w:lang w:val="en-US" w:eastAsia="zh-CN"/>
              </w:rPr>
              <w:t>25</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widowControl/>
              <w:jc w:val="center"/>
            </w:pPr>
            <w:r>
              <w:rPr>
                <w:rFonts w:hint="eastAsia"/>
              </w:rPr>
              <w:t>注册审批完成</w:t>
            </w:r>
            <w:r>
              <w:t>期限</w:t>
            </w:r>
          </w:p>
        </w:tc>
        <w:tc>
          <w:tcPr>
            <w:tcW w:w="5954" w:type="dxa"/>
            <w:tcBorders>
              <w:tl2br w:val="nil"/>
              <w:tr2bl w:val="nil"/>
            </w:tcBorders>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w:t>
            </w:r>
          </w:p>
          <w:p>
            <w:pPr>
              <w:widowControl/>
              <w:spacing w:line="360" w:lineRule="exact"/>
              <w:jc w:val="left"/>
            </w:pPr>
            <w:r>
              <w:rPr>
                <w:rFonts w:hint="eastAsia" w:ascii="Times New Roman" w:hAnsi="Times New Roman"/>
                <w:color w:val="000000"/>
                <w:kern w:val="0"/>
                <w:szCs w:val="21"/>
                <w:lang w:val="en-US" w:eastAsia="zh-CN"/>
              </w:rPr>
              <w:t>2个月内得10分，2个月以上不得分。</w:t>
            </w:r>
          </w:p>
        </w:tc>
        <w:tc>
          <w:tcPr>
            <w:tcW w:w="1090" w:type="dxa"/>
            <w:tcBorders>
              <w:tl2br w:val="nil"/>
              <w:tr2bl w:val="nil"/>
            </w:tcBorders>
            <w:vAlign w:val="center"/>
          </w:tcPr>
          <w:p>
            <w:pPr>
              <w:widowControl/>
              <w:jc w:val="center"/>
            </w:pPr>
            <w:r>
              <w:rPr>
                <w:rFonts w:hint="eastAsia"/>
                <w:lang w:val="en-US" w:eastAsia="zh-CN"/>
              </w:rPr>
              <w:t>10</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vAlign w:val="center"/>
          </w:tcPr>
          <w:p>
            <w:pPr>
              <w:autoSpaceDE w:val="0"/>
              <w:autoSpaceDN w:val="0"/>
              <w:adjustRightInd w:val="0"/>
              <w:jc w:val="center"/>
            </w:pPr>
            <w:r>
              <w:t>存续期服务承诺及意外风险应变等</w:t>
            </w:r>
          </w:p>
        </w:tc>
        <w:tc>
          <w:tcPr>
            <w:tcW w:w="5954" w:type="dxa"/>
            <w:tcBorders>
              <w:tl2br w:val="nil"/>
              <w:tr2bl w:val="nil"/>
            </w:tcBorders>
            <w:vAlign w:val="center"/>
          </w:tcPr>
          <w:p>
            <w:pPr>
              <w:widowControl/>
              <w:jc w:val="left"/>
            </w:pPr>
            <w:r>
              <w:t>存续期服务承诺是否完善</w:t>
            </w:r>
            <w:r>
              <w:rPr>
                <w:rFonts w:hint="eastAsia"/>
              </w:rPr>
              <w:t>、</w:t>
            </w:r>
            <w:r>
              <w:t>合理</w:t>
            </w:r>
            <w:r>
              <w:rPr>
                <w:rFonts w:hint="eastAsia"/>
              </w:rPr>
              <w:t>，对意外风险应变措施强、应急方案完善、可行性强的，</w:t>
            </w:r>
            <w:r>
              <w:rPr>
                <w:rFonts w:hint="eastAsia"/>
                <w:lang w:eastAsia="zh-CN"/>
              </w:rPr>
              <w:t>有</w:t>
            </w:r>
            <w:r>
              <w:rPr>
                <w:rFonts w:hint="eastAsia"/>
              </w:rPr>
              <w:t>得</w:t>
            </w:r>
            <w:r>
              <w:rPr>
                <w:rFonts w:hint="eastAsia"/>
                <w:lang w:val="en-US" w:eastAsia="zh-CN"/>
              </w:rPr>
              <w:t>5</w:t>
            </w:r>
            <w:r>
              <w:t>分，缺项不得分。评审内容主要包括但不仅限于：存续期服务承诺以及意外风险应变、备选方案等。</w:t>
            </w:r>
          </w:p>
        </w:tc>
        <w:tc>
          <w:tcPr>
            <w:tcW w:w="1090" w:type="dxa"/>
            <w:tcBorders>
              <w:tl2br w:val="nil"/>
              <w:tr2bl w:val="nil"/>
            </w:tcBorders>
            <w:vAlign w:val="center"/>
          </w:tcPr>
          <w:p>
            <w:pPr>
              <w:widowControl/>
              <w:jc w:val="center"/>
            </w:pPr>
            <w:r>
              <w:rPr>
                <w:rFonts w:hint="eastAsia"/>
                <w:lang w:val="en-US" w:eastAsia="zh-CN"/>
              </w:rPr>
              <w:t>5</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vAlign w:val="center"/>
          </w:tcPr>
          <w:p>
            <w:pPr>
              <w:autoSpaceDE w:val="0"/>
              <w:autoSpaceDN w:val="0"/>
              <w:adjustRightInd w:val="0"/>
              <w:jc w:val="center"/>
              <w:rPr>
                <w:rFonts w:hint="eastAsia"/>
                <w:lang w:eastAsia="zh-CN"/>
              </w:rPr>
            </w:pPr>
            <w:r>
              <w:rPr>
                <w:rFonts w:hint="eastAsia"/>
                <w:lang w:eastAsia="zh-CN"/>
              </w:rPr>
              <w:t>余额包销</w:t>
            </w:r>
          </w:p>
        </w:tc>
        <w:tc>
          <w:tcPr>
            <w:tcW w:w="5954" w:type="dxa"/>
            <w:tcBorders>
              <w:tl2br w:val="nil"/>
              <w:tr2bl w:val="nil"/>
            </w:tcBorders>
            <w:vAlign w:val="center"/>
          </w:tcPr>
          <w:p>
            <w:pPr>
              <w:widowControl/>
              <w:jc w:val="left"/>
              <w:rPr>
                <w:rFonts w:hint="default"/>
                <w:lang w:val="en-US" w:eastAsia="zh-CN"/>
              </w:rPr>
            </w:pPr>
            <w:r>
              <w:rPr>
                <w:rFonts w:hint="eastAsia"/>
                <w:lang w:eastAsia="zh-CN"/>
              </w:rPr>
              <w:t>承诺余额包销得</w:t>
            </w:r>
            <w:r>
              <w:rPr>
                <w:rFonts w:hint="eastAsia"/>
                <w:lang w:val="en-US" w:eastAsia="zh-CN"/>
              </w:rPr>
              <w:t>5分。</w:t>
            </w:r>
          </w:p>
        </w:tc>
        <w:tc>
          <w:tcPr>
            <w:tcW w:w="1090" w:type="dxa"/>
            <w:tcBorders>
              <w:tl2br w:val="nil"/>
              <w:tr2bl w:val="nil"/>
            </w:tcBorders>
            <w:vAlign w:val="center"/>
          </w:tcPr>
          <w:p>
            <w:pPr>
              <w:widowControl/>
              <w:jc w:val="center"/>
              <w:rPr>
                <w:rFonts w:hint="default"/>
                <w:lang w:val="en-US" w:eastAsia="zh-CN"/>
              </w:rPr>
            </w:pPr>
            <w:r>
              <w:rPr>
                <w:rFonts w:hint="eastAsia"/>
                <w:lang w:val="en-US" w:eastAsia="zh-CN"/>
              </w:rPr>
              <w:t>5分</w:t>
            </w:r>
          </w:p>
        </w:tc>
      </w:tr>
    </w:tbl>
    <w:p>
      <w:r>
        <w:rPr>
          <w:rFonts w:hint="eastAsia" w:ascii="仿宋" w:hAnsi="仿宋" w:eastAsia="仿宋" w:cs="仿宋_GB2312"/>
          <w:kern w:val="0"/>
          <w:sz w:val="30"/>
          <w:szCs w:val="30"/>
        </w:rPr>
        <w:br w:type="page"/>
      </w:r>
    </w:p>
    <w:tbl>
      <w:tblPr>
        <w:tblStyle w:val="17"/>
        <w:tblpPr w:leftFromText="180" w:rightFromText="180" w:vertAnchor="page" w:horzAnchor="page" w:tblpX="1872" w:tblpY="1712"/>
        <w:tblOverlap w:val="never"/>
        <w:tblW w:w="8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8930" w:type="dxa"/>
            <w:gridSpan w:val="3"/>
            <w:tcBorders>
              <w:tl2br w:val="nil"/>
              <w:tr2bl w:val="nil"/>
            </w:tcBorders>
            <w:vAlign w:val="center"/>
          </w:tcPr>
          <w:p>
            <w:pPr>
              <w:widowControl/>
              <w:jc w:val="center"/>
              <w:rPr>
                <w:b/>
                <w:bCs/>
              </w:rPr>
            </w:pPr>
            <w:r>
              <w:rPr>
                <w:rFonts w:hint="eastAsia"/>
                <w:b/>
                <w:bCs/>
              </w:rPr>
              <w:t>（3）</w:t>
            </w:r>
            <w:r>
              <w:rPr>
                <w:b/>
                <w:bCs/>
              </w:rPr>
              <w:t>商务部分（满分</w:t>
            </w:r>
            <w:r>
              <w:rPr>
                <w:rFonts w:hint="eastAsia"/>
                <w:b/>
                <w:bCs/>
                <w:lang w:val="en-US" w:eastAsia="zh-CN"/>
              </w:rPr>
              <w:t>45</w:t>
            </w:r>
            <w:r>
              <w:rPr>
                <w:b/>
                <w:bCs/>
              </w:rPr>
              <w:t>分）</w:t>
            </w:r>
          </w:p>
          <w:p>
            <w:pPr>
              <w:pStyle w:val="8"/>
              <w:ind w:left="600"/>
            </w:pPr>
            <w:r>
              <w:rPr>
                <w:rFonts w:hint="eastAsia"/>
              </w:rPr>
              <w:t xml:space="preserve">                                                               </w:t>
            </w:r>
            <w:r>
              <w:rPr>
                <w:rFonts w:hint="eastAsia"/>
                <w:b/>
                <w:bCs/>
              </w:rPr>
              <w:t xml:space="preserve">单位：亿元  </w:t>
            </w: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886" w:type="dxa"/>
            <w:tcBorders>
              <w:tl2br w:val="nil"/>
              <w:tr2bl w:val="nil"/>
            </w:tcBorders>
            <w:vAlign w:val="center"/>
          </w:tcPr>
          <w:p>
            <w:pPr>
              <w:widowControl/>
              <w:jc w:val="center"/>
              <w:rPr>
                <w:b w:val="0"/>
                <w:bCs w:val="0"/>
              </w:rPr>
            </w:pPr>
            <w:r>
              <w:rPr>
                <w:rFonts w:hint="eastAsia"/>
                <w:b w:val="0"/>
                <w:bCs w:val="0"/>
              </w:rPr>
              <w:t>评分因素</w:t>
            </w:r>
          </w:p>
        </w:tc>
        <w:tc>
          <w:tcPr>
            <w:tcW w:w="5954"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886" w:type="dxa"/>
            <w:tcBorders>
              <w:tl2br w:val="nil"/>
              <w:tr2bl w:val="nil"/>
            </w:tcBorders>
            <w:vAlign w:val="center"/>
          </w:tcPr>
          <w:p>
            <w:pPr>
              <w:pStyle w:val="48"/>
              <w:jc w:val="center"/>
              <w:rPr>
                <w:rFonts w:ascii="宋体" w:hAnsi="宋体" w:eastAsia="宋体" w:cs="宋体"/>
                <w:b w:val="0"/>
                <w:bCs w:val="0"/>
                <w:color w:val="auto"/>
                <w:kern w:val="2"/>
                <w:sz w:val="21"/>
                <w:szCs w:val="22"/>
              </w:rPr>
            </w:pPr>
            <w:r>
              <w:rPr>
                <w:rFonts w:hint="eastAsia" w:ascii="宋体" w:hAnsi="宋体" w:eastAsia="宋体" w:cs="宋体"/>
                <w:b w:val="0"/>
                <w:bCs w:val="0"/>
                <w:color w:val="auto"/>
                <w:kern w:val="2"/>
                <w:sz w:val="21"/>
                <w:szCs w:val="22"/>
              </w:rPr>
              <w:t>承销资质</w:t>
            </w:r>
          </w:p>
        </w:tc>
        <w:tc>
          <w:tcPr>
            <w:tcW w:w="5954" w:type="dxa"/>
            <w:tcBorders>
              <w:tl2br w:val="nil"/>
              <w:tr2bl w:val="nil"/>
            </w:tcBorders>
            <w:vAlign w:val="center"/>
          </w:tcPr>
          <w:p>
            <w:pPr>
              <w:pStyle w:val="48"/>
              <w:rPr>
                <w:rFonts w:hint="eastAsia" w:ascii="宋体" w:hAnsi="宋体" w:eastAsia="宋体" w:cs="宋体"/>
                <w:color w:val="auto"/>
                <w:kern w:val="2"/>
                <w:sz w:val="21"/>
                <w:szCs w:val="22"/>
              </w:rPr>
            </w:pPr>
            <w:r>
              <w:rPr>
                <w:rFonts w:hint="eastAsia" w:ascii="宋体" w:hAnsi="宋体" w:eastAsia="宋体" w:cs="宋体"/>
                <w:color w:val="auto"/>
                <w:kern w:val="2"/>
                <w:sz w:val="21"/>
                <w:szCs w:val="22"/>
              </w:rPr>
              <w:t>具备银行间市场交易商协会非金融企业债务融资工具承销业务</w:t>
            </w:r>
            <w:r>
              <w:rPr>
                <w:rFonts w:hint="eastAsia" w:ascii="宋体" w:hAnsi="宋体" w:eastAsia="宋体" w:cs="宋体"/>
                <w:color w:val="auto"/>
                <w:kern w:val="2"/>
                <w:sz w:val="21"/>
                <w:szCs w:val="22"/>
                <w:lang w:val="en-US" w:eastAsia="zh-CN"/>
              </w:rPr>
              <w:t>A类及</w:t>
            </w:r>
            <w:r>
              <w:rPr>
                <w:rFonts w:hint="eastAsia" w:ascii="宋体" w:hAnsi="宋体" w:eastAsia="宋体" w:cs="宋体"/>
                <w:color w:val="auto"/>
                <w:kern w:val="2"/>
                <w:sz w:val="21"/>
                <w:szCs w:val="22"/>
              </w:rPr>
              <w:t>主承销商</w:t>
            </w:r>
            <w:r>
              <w:rPr>
                <w:rFonts w:hint="eastAsia" w:ascii="宋体" w:hAnsi="宋体" w:eastAsia="宋体" w:cs="宋体"/>
                <w:color w:val="auto"/>
                <w:kern w:val="2"/>
                <w:sz w:val="21"/>
                <w:szCs w:val="22"/>
                <w:lang w:val="en-US" w:eastAsia="zh-CN"/>
              </w:rPr>
              <w:t>资质得10</w:t>
            </w:r>
            <w:r>
              <w:rPr>
                <w:rFonts w:hint="eastAsia" w:ascii="宋体" w:hAnsi="宋体" w:eastAsia="宋体" w:cs="宋体"/>
                <w:color w:val="auto"/>
                <w:kern w:val="2"/>
                <w:sz w:val="21"/>
                <w:szCs w:val="22"/>
              </w:rPr>
              <w:t>分，B类</w:t>
            </w:r>
            <w:r>
              <w:rPr>
                <w:rFonts w:hint="eastAsia" w:ascii="宋体" w:hAnsi="宋体" w:eastAsia="宋体" w:cs="宋体"/>
                <w:color w:val="auto"/>
                <w:kern w:val="2"/>
                <w:sz w:val="21"/>
                <w:szCs w:val="22"/>
                <w:lang w:val="en-US" w:eastAsia="zh-CN"/>
              </w:rPr>
              <w:t>及</w:t>
            </w:r>
            <w:r>
              <w:rPr>
                <w:rFonts w:hint="eastAsia" w:ascii="宋体" w:hAnsi="宋体" w:eastAsia="宋体" w:cs="宋体"/>
                <w:color w:val="auto"/>
                <w:kern w:val="2"/>
                <w:sz w:val="21"/>
                <w:szCs w:val="22"/>
              </w:rPr>
              <w:t>承销商资质得</w:t>
            </w:r>
            <w:r>
              <w:rPr>
                <w:rFonts w:hint="eastAsia" w:ascii="宋体" w:hAnsi="宋体" w:eastAsia="宋体" w:cs="宋体"/>
                <w:color w:val="auto"/>
                <w:kern w:val="2"/>
                <w:sz w:val="21"/>
                <w:szCs w:val="22"/>
                <w:lang w:val="en-US" w:eastAsia="zh-CN"/>
              </w:rPr>
              <w:t>5</w:t>
            </w:r>
            <w:r>
              <w:rPr>
                <w:rFonts w:hint="eastAsia" w:ascii="宋体" w:hAnsi="宋体" w:eastAsia="宋体" w:cs="宋体"/>
                <w:color w:val="auto"/>
                <w:kern w:val="2"/>
                <w:sz w:val="21"/>
                <w:szCs w:val="22"/>
              </w:rPr>
              <w:t>分，其他得0分。</w:t>
            </w:r>
          </w:p>
          <w:p>
            <w:pPr>
              <w:pStyle w:val="48"/>
              <w:rPr>
                <w:rFonts w:hint="eastAsia" w:ascii="宋体" w:hAnsi="宋体" w:eastAsia="宋体" w:cs="宋体"/>
                <w:color w:val="auto"/>
                <w:kern w:val="2"/>
                <w:sz w:val="21"/>
                <w:szCs w:val="22"/>
              </w:rPr>
            </w:pPr>
          </w:p>
          <w:p>
            <w:pPr>
              <w:pStyle w:val="48"/>
              <w:rPr>
                <w:rFonts w:ascii="宋体" w:hAnsi="宋体" w:eastAsia="宋体" w:cs="宋体"/>
                <w:color w:val="auto"/>
                <w:kern w:val="2"/>
                <w:sz w:val="21"/>
                <w:szCs w:val="22"/>
              </w:rPr>
            </w:pPr>
            <w:r>
              <w:rPr>
                <w:rFonts w:hint="eastAsia" w:ascii="宋体" w:hAnsi="宋体" w:eastAsia="宋体" w:cs="宋体"/>
                <w:color w:val="auto"/>
                <w:kern w:val="2"/>
                <w:sz w:val="21"/>
                <w:szCs w:val="22"/>
                <w:lang w:val="en-US" w:eastAsia="zh-CN"/>
              </w:rPr>
              <w:t>注：</w:t>
            </w:r>
            <w:r>
              <w:rPr>
                <w:rFonts w:hint="eastAsia" w:ascii="宋体" w:hAnsi="宋体" w:eastAsia="宋体" w:cs="宋体"/>
                <w:color w:val="auto"/>
                <w:kern w:val="2"/>
                <w:sz w:val="21"/>
                <w:szCs w:val="22"/>
              </w:rPr>
              <w:t>提供中国银行间市场交易商协会查询截图。</w:t>
            </w:r>
          </w:p>
        </w:tc>
        <w:tc>
          <w:tcPr>
            <w:tcW w:w="1090" w:type="dxa"/>
            <w:tcBorders>
              <w:tl2br w:val="nil"/>
              <w:tr2bl w:val="nil"/>
            </w:tcBorders>
            <w:vAlign w:val="center"/>
          </w:tcPr>
          <w:p>
            <w:pPr>
              <w:pStyle w:val="48"/>
              <w:jc w:val="center"/>
              <w:rPr>
                <w:rFonts w:ascii="宋体" w:hAnsi="宋体" w:eastAsia="宋体" w:cs="宋体"/>
                <w:sz w:val="21"/>
                <w:szCs w:val="21"/>
              </w:rPr>
            </w:pPr>
            <w:r>
              <w:rPr>
                <w:rFonts w:hint="eastAsia" w:ascii="宋体" w:hAnsi="宋体" w:eastAsia="宋体" w:cs="宋体"/>
                <w:sz w:val="21"/>
                <w:szCs w:val="21"/>
                <w:lang w:val="en-US" w:eastAsia="zh-CN"/>
              </w:rPr>
              <w:t>10</w:t>
            </w:r>
            <w:r>
              <w:rPr>
                <w:rFonts w:hint="eastAsia" w:ascii="宋体" w:hAnsi="宋体" w:eastAsia="宋体" w:cs="宋体"/>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trPr>
        <w:tc>
          <w:tcPr>
            <w:tcW w:w="1886" w:type="dxa"/>
            <w:tcBorders>
              <w:tl2br w:val="nil"/>
              <w:tr2bl w:val="nil"/>
            </w:tcBorders>
            <w:vAlign w:val="center"/>
          </w:tcPr>
          <w:p>
            <w:pPr>
              <w:pStyle w:val="48"/>
              <w:jc w:val="center"/>
              <w:rPr>
                <w:rFonts w:hint="default" w:ascii="宋体" w:hAnsi="宋体" w:eastAsia="宋体" w:cs="宋体"/>
                <w:b w:val="0"/>
                <w:bCs w:val="0"/>
                <w:color w:val="auto"/>
                <w:kern w:val="2"/>
                <w:sz w:val="21"/>
                <w:szCs w:val="22"/>
                <w:lang w:val="en-US" w:eastAsia="zh-CN"/>
              </w:rPr>
            </w:pPr>
            <w:r>
              <w:rPr>
                <w:rFonts w:hint="eastAsia" w:asciiTheme="majorEastAsia" w:hAnsiTheme="majorEastAsia" w:eastAsiaTheme="majorEastAsia" w:cstheme="majorEastAsia"/>
                <w:color w:val="auto"/>
                <w:kern w:val="2"/>
                <w:sz w:val="21"/>
                <w:szCs w:val="22"/>
                <w:lang w:eastAsia="zh-Hans"/>
              </w:rPr>
              <w:t>承销业绩</w:t>
            </w:r>
          </w:p>
        </w:tc>
        <w:tc>
          <w:tcPr>
            <w:tcW w:w="5954" w:type="dxa"/>
            <w:tcBorders>
              <w:tl2br w:val="nil"/>
              <w:tr2bl w:val="nil"/>
            </w:tcBorders>
            <w:vAlign w:val="center"/>
          </w:tcPr>
          <w:p>
            <w:pPr>
              <w:pStyle w:val="48"/>
              <w:jc w:val="both"/>
              <w:rPr>
                <w:rFonts w:hint="eastAsia" w:asciiTheme="majorEastAsia" w:hAnsiTheme="majorEastAsia" w:eastAsiaTheme="majorEastAsia" w:cstheme="majorEastAsia"/>
                <w:color w:val="auto"/>
                <w:kern w:val="2"/>
                <w:sz w:val="21"/>
                <w:szCs w:val="22"/>
              </w:rPr>
            </w:pPr>
            <w:r>
              <w:rPr>
                <w:rFonts w:hint="eastAsia" w:asciiTheme="majorEastAsia" w:hAnsiTheme="majorEastAsia" w:eastAsiaTheme="majorEastAsia" w:cstheme="majorEastAsia"/>
                <w:color w:val="auto"/>
                <w:sz w:val="21"/>
                <w:szCs w:val="21"/>
              </w:rPr>
              <w:t>2020年1月1日至2022年12月31日期间内Wind口径下，投标人</w:t>
            </w:r>
            <w:r>
              <w:rPr>
                <w:rFonts w:hint="eastAsia" w:asciiTheme="majorEastAsia" w:hAnsiTheme="majorEastAsia" w:eastAsiaTheme="majorEastAsia" w:cstheme="majorEastAsia"/>
                <w:color w:val="auto"/>
                <w:kern w:val="2"/>
                <w:sz w:val="21"/>
                <w:szCs w:val="22"/>
              </w:rPr>
              <w:t>NAFMII债务融资工具发行金额，评分标准：承销规模≥2000，得10分；1500≤承销规模＜2000，得7分；1000≤承销规模＜1500,得4分，1000以下不得分。</w:t>
            </w:r>
          </w:p>
          <w:p>
            <w:pPr>
              <w:pStyle w:val="48"/>
              <w:jc w:val="both"/>
              <w:rPr>
                <w:rFonts w:hint="eastAsia" w:asciiTheme="majorEastAsia" w:hAnsiTheme="majorEastAsia" w:eastAsiaTheme="majorEastAsia" w:cstheme="majorEastAsia"/>
                <w:color w:val="auto"/>
                <w:kern w:val="2"/>
                <w:sz w:val="21"/>
                <w:szCs w:val="22"/>
              </w:rPr>
            </w:pPr>
          </w:p>
          <w:p>
            <w:pPr>
              <w:pStyle w:val="48"/>
              <w:jc w:val="both"/>
              <w:rPr>
                <w:rFonts w:ascii="宋体" w:hAnsi="宋体" w:eastAsia="宋体" w:cs="宋体"/>
                <w:color w:val="auto"/>
                <w:kern w:val="2"/>
                <w:sz w:val="21"/>
                <w:szCs w:val="22"/>
              </w:rPr>
            </w:pPr>
            <w:r>
              <w:rPr>
                <w:rFonts w:hint="eastAsia" w:asciiTheme="majorEastAsia" w:hAnsiTheme="majorEastAsia" w:eastAsiaTheme="majorEastAsia" w:cstheme="majorEastAsia"/>
                <w:color w:val="auto"/>
                <w:kern w:val="2"/>
                <w:sz w:val="21"/>
                <w:szCs w:val="22"/>
              </w:rPr>
              <w:t>注：以WIND系统查询债券承销排名NAFMII承销统计截屏为准。</w:t>
            </w:r>
          </w:p>
        </w:tc>
        <w:tc>
          <w:tcPr>
            <w:tcW w:w="1090" w:type="dxa"/>
            <w:tcBorders>
              <w:tl2br w:val="nil"/>
              <w:tr2bl w:val="nil"/>
            </w:tcBorders>
            <w:vAlign w:val="center"/>
          </w:tcPr>
          <w:p>
            <w:pPr>
              <w:pStyle w:val="48"/>
              <w:jc w:val="center"/>
              <w:rPr>
                <w:rFonts w:ascii="宋体" w:hAnsi="宋体" w:eastAsia="宋体" w:cs="宋体"/>
                <w:sz w:val="21"/>
                <w:szCs w:val="21"/>
              </w:rPr>
            </w:pPr>
            <w:r>
              <w:rPr>
                <w:rFonts w:hint="eastAsia" w:asciiTheme="majorEastAsia" w:hAnsiTheme="majorEastAsia" w:eastAsiaTheme="majorEastAsia" w:cstheme="majorEastAsia"/>
                <w:color w:val="24282C"/>
                <w:sz w:val="21"/>
                <w:szCs w:val="21"/>
                <w:lang w:val="en-US" w:eastAsia="zh-CN"/>
              </w:rPr>
              <w:t>10</w:t>
            </w:r>
            <w:r>
              <w:rPr>
                <w:rFonts w:hint="eastAsia" w:asciiTheme="majorEastAsia" w:hAnsiTheme="majorEastAsia" w:eastAsiaTheme="majorEastAsia" w:cstheme="majorEastAsia"/>
                <w:color w:val="24282C"/>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886" w:type="dxa"/>
            <w:tcBorders>
              <w:tl2br w:val="nil"/>
              <w:tr2bl w:val="nil"/>
            </w:tcBorders>
            <w:vAlign w:val="center"/>
          </w:tcPr>
          <w:p>
            <w:pPr>
              <w:pStyle w:val="48"/>
              <w:jc w:val="center"/>
              <w:rPr>
                <w:rFonts w:ascii="宋体" w:hAnsi="宋体" w:eastAsia="宋体" w:cs="宋体"/>
                <w:b w:val="0"/>
                <w:bCs w:val="0"/>
                <w:color w:val="auto"/>
                <w:kern w:val="2"/>
                <w:sz w:val="21"/>
                <w:szCs w:val="22"/>
              </w:rPr>
            </w:pPr>
            <w:r>
              <w:rPr>
                <w:rFonts w:hint="eastAsia" w:asciiTheme="majorEastAsia" w:hAnsiTheme="majorEastAsia" w:eastAsiaTheme="majorEastAsia" w:cstheme="majorEastAsia"/>
                <w:color w:val="auto"/>
                <w:sz w:val="21"/>
                <w:szCs w:val="21"/>
              </w:rPr>
              <w:t>河南地区债券承销</w:t>
            </w:r>
            <w:r>
              <w:rPr>
                <w:rFonts w:hint="eastAsia" w:asciiTheme="majorEastAsia" w:hAnsiTheme="majorEastAsia" w:eastAsiaTheme="majorEastAsia" w:cstheme="majorEastAsia"/>
                <w:color w:val="auto"/>
                <w:kern w:val="2"/>
                <w:sz w:val="21"/>
                <w:szCs w:val="22"/>
                <w:lang w:eastAsia="zh-Hans"/>
              </w:rPr>
              <w:t>业绩</w:t>
            </w:r>
          </w:p>
        </w:tc>
        <w:tc>
          <w:tcPr>
            <w:tcW w:w="5954" w:type="dxa"/>
            <w:tcBorders>
              <w:tl2br w:val="nil"/>
              <w:tr2bl w:val="nil"/>
            </w:tcBorders>
            <w:vAlign w:val="center"/>
          </w:tcPr>
          <w:p>
            <w:pPr>
              <w:pStyle w:val="48"/>
              <w:jc w:val="both"/>
              <w:rPr>
                <w:rFonts w:hint="eastAsia" w:asciiTheme="majorEastAsia" w:hAnsiTheme="majorEastAsia" w:eastAsiaTheme="majorEastAsia" w:cstheme="majorEastAsia"/>
                <w:color w:val="auto"/>
                <w:kern w:val="2"/>
                <w:sz w:val="21"/>
                <w:szCs w:val="22"/>
              </w:rPr>
            </w:pPr>
            <w:r>
              <w:rPr>
                <w:rFonts w:hint="eastAsia" w:asciiTheme="majorEastAsia" w:hAnsiTheme="majorEastAsia" w:eastAsiaTheme="majorEastAsia" w:cstheme="majorEastAsia"/>
                <w:color w:val="auto"/>
                <w:sz w:val="21"/>
                <w:szCs w:val="21"/>
              </w:rPr>
              <w:t>2020年1月1日至2022年12月31日期间投标人河南地区</w:t>
            </w:r>
            <w:r>
              <w:rPr>
                <w:rFonts w:hint="eastAsia" w:asciiTheme="majorEastAsia" w:hAnsiTheme="majorEastAsia" w:eastAsiaTheme="majorEastAsia" w:cstheme="majorEastAsia"/>
                <w:color w:val="auto"/>
                <w:kern w:val="2"/>
                <w:sz w:val="21"/>
                <w:szCs w:val="22"/>
              </w:rPr>
              <w:t>NAFMII债务融资工具发行金额，评分标准：承销规模≥50，得10分；35≤承销规模＜50，得7分；20≤承销规模＜35，得4分；20以下不得分。</w:t>
            </w:r>
          </w:p>
          <w:p>
            <w:pPr>
              <w:pStyle w:val="48"/>
              <w:jc w:val="both"/>
              <w:rPr>
                <w:rFonts w:hint="eastAsia" w:asciiTheme="majorEastAsia" w:hAnsiTheme="majorEastAsia" w:eastAsiaTheme="majorEastAsia" w:cstheme="majorEastAsia"/>
                <w:color w:val="auto"/>
                <w:kern w:val="2"/>
                <w:sz w:val="21"/>
                <w:szCs w:val="22"/>
              </w:rPr>
            </w:pPr>
          </w:p>
          <w:p>
            <w:pPr>
              <w:pStyle w:val="48"/>
              <w:jc w:val="both"/>
              <w:rPr>
                <w:rFonts w:ascii="宋体" w:hAnsi="宋体" w:eastAsia="宋体" w:cs="宋体"/>
                <w:color w:val="auto"/>
                <w:kern w:val="2"/>
                <w:sz w:val="21"/>
                <w:szCs w:val="22"/>
              </w:rPr>
            </w:pPr>
            <w:r>
              <w:rPr>
                <w:rFonts w:hint="eastAsia" w:asciiTheme="majorEastAsia" w:hAnsiTheme="majorEastAsia" w:eastAsiaTheme="majorEastAsia" w:cstheme="majorEastAsia"/>
                <w:color w:val="auto"/>
                <w:kern w:val="2"/>
                <w:sz w:val="21"/>
                <w:szCs w:val="22"/>
              </w:rPr>
              <w:t>注：以WIND系统查询河南地区NAFMII承销统计截屏为准。</w:t>
            </w:r>
          </w:p>
        </w:tc>
        <w:tc>
          <w:tcPr>
            <w:tcW w:w="1090" w:type="dxa"/>
            <w:tcBorders>
              <w:tl2br w:val="nil"/>
              <w:tr2bl w:val="nil"/>
            </w:tcBorders>
            <w:vAlign w:val="center"/>
          </w:tcPr>
          <w:p>
            <w:pPr>
              <w:pStyle w:val="48"/>
              <w:jc w:val="center"/>
              <w:rPr>
                <w:rFonts w:ascii="宋体" w:hAnsi="宋体" w:eastAsia="宋体" w:cs="宋体"/>
                <w:sz w:val="21"/>
                <w:szCs w:val="21"/>
              </w:rPr>
            </w:pPr>
            <w:r>
              <w:rPr>
                <w:rFonts w:hint="eastAsia" w:asciiTheme="majorEastAsia" w:hAnsiTheme="majorEastAsia" w:eastAsiaTheme="majorEastAsia" w:cstheme="majorEastAsia"/>
                <w:color w:val="24282C"/>
                <w:sz w:val="21"/>
                <w:szCs w:val="21"/>
                <w:lang w:val="en-US" w:eastAsia="zh-CN"/>
              </w:rPr>
              <w:t>10</w:t>
            </w:r>
            <w:r>
              <w:rPr>
                <w:rFonts w:hint="eastAsia" w:asciiTheme="majorEastAsia" w:hAnsiTheme="majorEastAsia" w:eastAsiaTheme="majorEastAsia" w:cstheme="majorEastAsia"/>
                <w:color w:val="24282C"/>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1886" w:type="dxa"/>
            <w:tcBorders>
              <w:tl2br w:val="nil"/>
              <w:tr2bl w:val="nil"/>
            </w:tcBorders>
            <w:vAlign w:val="center"/>
          </w:tcPr>
          <w:p>
            <w:pPr>
              <w:widowControl/>
              <w:jc w:val="center"/>
              <w:rPr>
                <w:rFonts w:hint="default"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投标人对我公司支持情况</w:t>
            </w:r>
          </w:p>
        </w:tc>
        <w:tc>
          <w:tcPr>
            <w:tcW w:w="5954" w:type="dxa"/>
            <w:tcBorders>
              <w:tl2br w:val="nil"/>
              <w:tr2bl w:val="nil"/>
            </w:tcBorders>
            <w:vAlign w:val="center"/>
          </w:tcPr>
          <w:p>
            <w:pPr>
              <w:pStyle w:val="48"/>
              <w:jc w:val="both"/>
              <w:rPr>
                <w:rFonts w:hint="eastAsia" w:asciiTheme="majorEastAsia" w:hAnsiTheme="majorEastAsia" w:eastAsiaTheme="majorEastAsia" w:cstheme="majorEastAsia"/>
                <w:color w:val="auto"/>
                <w:kern w:val="2"/>
                <w:sz w:val="21"/>
                <w:szCs w:val="22"/>
              </w:rPr>
            </w:pPr>
            <w:r>
              <w:rPr>
                <w:rFonts w:hint="eastAsia" w:asciiTheme="majorEastAsia" w:hAnsiTheme="majorEastAsia" w:eastAsiaTheme="majorEastAsia" w:cstheme="majorEastAsia"/>
                <w:lang w:val="en-US" w:eastAsia="zh-CN"/>
              </w:rPr>
              <w:t>投标人及其系统相关机构对我公司现有存续资金支持：</w:t>
            </w:r>
            <w:r>
              <w:rPr>
                <w:rFonts w:hint="eastAsia" w:asciiTheme="majorEastAsia" w:hAnsiTheme="majorEastAsia" w:eastAsiaTheme="majorEastAsia" w:cstheme="majorEastAsia"/>
                <w:color w:val="auto"/>
                <w:kern w:val="2"/>
                <w:sz w:val="21"/>
                <w:szCs w:val="22"/>
                <w:lang w:val="en-US" w:eastAsia="zh-CN"/>
              </w:rPr>
              <w:t>资金支持</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10</w:t>
            </w:r>
            <w:r>
              <w:rPr>
                <w:rFonts w:hint="eastAsia" w:asciiTheme="majorEastAsia" w:hAnsiTheme="majorEastAsia" w:eastAsiaTheme="majorEastAsia" w:cstheme="majorEastAsia"/>
                <w:color w:val="auto"/>
                <w:kern w:val="2"/>
                <w:sz w:val="21"/>
                <w:szCs w:val="22"/>
              </w:rPr>
              <w:t>，得10分；</w:t>
            </w:r>
            <w:r>
              <w:rPr>
                <w:rFonts w:hint="eastAsia" w:asciiTheme="majorEastAsia" w:hAnsiTheme="majorEastAsia" w:eastAsiaTheme="majorEastAsia" w:cstheme="majorEastAsia"/>
                <w:color w:val="auto"/>
                <w:kern w:val="2"/>
                <w:sz w:val="21"/>
                <w:szCs w:val="22"/>
                <w:lang w:val="en-US" w:eastAsia="zh-CN"/>
              </w:rPr>
              <w:t>9</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资金支持</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5</w:t>
            </w:r>
            <w:r>
              <w:rPr>
                <w:rFonts w:hint="eastAsia" w:asciiTheme="majorEastAsia" w:hAnsiTheme="majorEastAsia" w:eastAsiaTheme="majorEastAsia" w:cstheme="majorEastAsia"/>
                <w:color w:val="auto"/>
                <w:kern w:val="2"/>
                <w:sz w:val="21"/>
                <w:szCs w:val="22"/>
              </w:rPr>
              <w:t>，得</w:t>
            </w:r>
            <w:r>
              <w:rPr>
                <w:rFonts w:hint="eastAsia" w:asciiTheme="majorEastAsia" w:hAnsiTheme="majorEastAsia" w:eastAsiaTheme="majorEastAsia" w:cstheme="majorEastAsia"/>
                <w:color w:val="auto"/>
                <w:kern w:val="2"/>
                <w:sz w:val="21"/>
                <w:szCs w:val="22"/>
                <w:lang w:val="en-US" w:eastAsia="zh-CN"/>
              </w:rPr>
              <w:t>5</w:t>
            </w:r>
            <w:r>
              <w:rPr>
                <w:rFonts w:hint="eastAsia" w:asciiTheme="majorEastAsia" w:hAnsiTheme="majorEastAsia" w:eastAsiaTheme="majorEastAsia" w:cstheme="majorEastAsia"/>
                <w:color w:val="auto"/>
                <w:kern w:val="2"/>
                <w:sz w:val="21"/>
                <w:szCs w:val="22"/>
              </w:rPr>
              <w:t>分；</w:t>
            </w:r>
            <w:r>
              <w:rPr>
                <w:rFonts w:hint="eastAsia" w:asciiTheme="majorEastAsia" w:hAnsiTheme="majorEastAsia" w:eastAsiaTheme="majorEastAsia" w:cstheme="majorEastAsia"/>
                <w:color w:val="auto"/>
                <w:kern w:val="2"/>
                <w:sz w:val="21"/>
                <w:szCs w:val="22"/>
                <w:lang w:val="en-US" w:eastAsia="zh-CN"/>
              </w:rPr>
              <w:t>4</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资金支持</w:t>
            </w:r>
            <w:r>
              <w:rPr>
                <w:rFonts w:hint="eastAsia" w:asciiTheme="majorEastAsia" w:hAnsiTheme="majorEastAsia" w:eastAsiaTheme="majorEastAsia" w:cstheme="majorEastAsia"/>
                <w:color w:val="auto"/>
                <w:kern w:val="2"/>
                <w:sz w:val="21"/>
                <w:szCs w:val="22"/>
              </w:rPr>
              <w:t>＜</w:t>
            </w:r>
            <w:r>
              <w:rPr>
                <w:rFonts w:hint="eastAsia" w:asciiTheme="majorEastAsia" w:hAnsiTheme="majorEastAsia" w:eastAsiaTheme="majorEastAsia" w:cstheme="majorEastAsia"/>
                <w:color w:val="auto"/>
                <w:kern w:val="2"/>
                <w:sz w:val="21"/>
                <w:szCs w:val="22"/>
                <w:lang w:val="en-US" w:eastAsia="zh-CN"/>
              </w:rPr>
              <w:t>1</w:t>
            </w:r>
            <w:r>
              <w:rPr>
                <w:rFonts w:hint="eastAsia" w:asciiTheme="majorEastAsia" w:hAnsiTheme="majorEastAsia" w:eastAsiaTheme="majorEastAsia" w:cstheme="majorEastAsia"/>
                <w:color w:val="auto"/>
                <w:kern w:val="2"/>
                <w:sz w:val="21"/>
                <w:szCs w:val="22"/>
              </w:rPr>
              <w:t>，得</w:t>
            </w:r>
            <w:r>
              <w:rPr>
                <w:rFonts w:hint="eastAsia" w:asciiTheme="majorEastAsia" w:hAnsiTheme="majorEastAsia" w:eastAsiaTheme="majorEastAsia" w:cstheme="majorEastAsia"/>
                <w:color w:val="auto"/>
                <w:kern w:val="2"/>
                <w:sz w:val="21"/>
                <w:szCs w:val="22"/>
                <w:lang w:val="en-US" w:eastAsia="zh-CN"/>
              </w:rPr>
              <w:t>1</w:t>
            </w:r>
            <w:r>
              <w:rPr>
                <w:rFonts w:hint="eastAsia" w:asciiTheme="majorEastAsia" w:hAnsiTheme="majorEastAsia" w:eastAsiaTheme="majorEastAsia" w:cstheme="majorEastAsia"/>
                <w:color w:val="auto"/>
                <w:kern w:val="2"/>
                <w:sz w:val="21"/>
                <w:szCs w:val="22"/>
              </w:rPr>
              <w:t>分；</w:t>
            </w:r>
            <w:r>
              <w:rPr>
                <w:rFonts w:hint="eastAsia" w:asciiTheme="majorEastAsia" w:hAnsiTheme="majorEastAsia" w:eastAsiaTheme="majorEastAsia" w:cstheme="majorEastAsia"/>
                <w:color w:val="auto"/>
                <w:kern w:val="2"/>
                <w:sz w:val="21"/>
                <w:szCs w:val="22"/>
                <w:lang w:val="en-US" w:eastAsia="zh-CN"/>
              </w:rPr>
              <w:t>1</w:t>
            </w:r>
            <w:r>
              <w:rPr>
                <w:rFonts w:hint="eastAsia" w:asciiTheme="majorEastAsia" w:hAnsiTheme="majorEastAsia" w:eastAsiaTheme="majorEastAsia" w:cstheme="majorEastAsia"/>
                <w:color w:val="auto"/>
                <w:kern w:val="2"/>
                <w:sz w:val="21"/>
                <w:szCs w:val="22"/>
              </w:rPr>
              <w:t>以下不得分。</w:t>
            </w:r>
          </w:p>
          <w:p>
            <w:pPr>
              <w:pStyle w:val="48"/>
              <w:jc w:val="both"/>
              <w:rPr>
                <w:rFonts w:hint="eastAsia" w:asciiTheme="majorEastAsia" w:hAnsiTheme="majorEastAsia" w:eastAsiaTheme="majorEastAsia" w:cstheme="majorEastAsia"/>
                <w:color w:val="auto"/>
                <w:kern w:val="2"/>
                <w:sz w:val="21"/>
                <w:szCs w:val="22"/>
              </w:rPr>
            </w:pPr>
          </w:p>
          <w:p>
            <w:pPr>
              <w:pStyle w:val="8"/>
              <w:rPr>
                <w:rFonts w:hint="default"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注：需提供系统截图、合同、批复等相关证明文件。</w:t>
            </w:r>
          </w:p>
        </w:tc>
        <w:tc>
          <w:tcPr>
            <w:tcW w:w="1090" w:type="dxa"/>
            <w:tcBorders>
              <w:tl2br w:val="nil"/>
              <w:tr2bl w:val="nil"/>
            </w:tcBorders>
            <w:vAlign w:val="center"/>
          </w:tcPr>
          <w:p>
            <w:pPr>
              <w:widowControl/>
              <w:spacing w:line="500" w:lineRule="exact"/>
              <w:jc w:val="center"/>
              <w:rPr>
                <w:rFonts w:hint="default" w:asciiTheme="majorEastAsia" w:hAnsiTheme="majorEastAsia" w:eastAsiaTheme="majorEastAsia" w:cstheme="majorEastAsia"/>
                <w:color w:val="000000"/>
                <w:kern w:val="0"/>
                <w:szCs w:val="21"/>
                <w:lang w:val="en-US" w:eastAsia="zh-CN"/>
              </w:rPr>
            </w:pPr>
            <w:r>
              <w:rPr>
                <w:rFonts w:hint="eastAsia" w:asciiTheme="majorEastAsia" w:hAnsiTheme="majorEastAsia" w:eastAsiaTheme="majorEastAsia" w:cstheme="majorEastAsia"/>
                <w:color w:val="000000"/>
                <w:kern w:val="0"/>
                <w:szCs w:val="21"/>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trPr>
        <w:tc>
          <w:tcPr>
            <w:tcW w:w="1886" w:type="dxa"/>
            <w:tcBorders>
              <w:tl2br w:val="nil"/>
              <w:tr2bl w:val="nil"/>
            </w:tcBorders>
            <w:vAlign w:val="center"/>
          </w:tcPr>
          <w:p>
            <w:pPr>
              <w:widowControl/>
              <w:jc w:val="center"/>
              <w:rPr>
                <w:rFonts w:hint="eastAsia" w:asciiTheme="majorEastAsia" w:hAnsiTheme="majorEastAsia" w:eastAsiaTheme="majorEastAsia" w:cstheme="majorEastAsia"/>
                <w:kern w:val="2"/>
                <w:sz w:val="21"/>
                <w:szCs w:val="22"/>
                <w:lang w:val="en-US" w:eastAsia="zh-CN" w:bidi="ar-SA"/>
              </w:rPr>
            </w:pPr>
            <w:r>
              <w:rPr>
                <w:rFonts w:hint="eastAsia" w:asciiTheme="majorEastAsia" w:hAnsiTheme="majorEastAsia" w:eastAsiaTheme="majorEastAsia" w:cstheme="majorEastAsia"/>
              </w:rPr>
              <w:t>团队能力</w:t>
            </w:r>
          </w:p>
        </w:tc>
        <w:tc>
          <w:tcPr>
            <w:tcW w:w="5954" w:type="dxa"/>
            <w:tcBorders>
              <w:tl2br w:val="nil"/>
              <w:tr2bl w:val="nil"/>
            </w:tcBorders>
            <w:vAlign w:val="center"/>
          </w:tcPr>
          <w:p>
            <w:pPr>
              <w:widowControl/>
              <w:jc w:val="left"/>
              <w:rPr>
                <w:rFonts w:hint="eastAsia" w:asciiTheme="majorEastAsia" w:hAnsiTheme="majorEastAsia" w:eastAsiaTheme="majorEastAsia" w:cstheme="majorEastAsia"/>
              </w:rPr>
            </w:pPr>
            <w:r>
              <w:rPr>
                <w:rFonts w:hint="eastAsia" w:asciiTheme="majorEastAsia" w:hAnsiTheme="majorEastAsia" w:eastAsiaTheme="majorEastAsia" w:cstheme="majorEastAsia"/>
              </w:rPr>
              <w:t>本项目拟派项目负责人</w:t>
            </w:r>
            <w:r>
              <w:rPr>
                <w:rFonts w:hint="eastAsia" w:asciiTheme="majorEastAsia" w:hAnsiTheme="majorEastAsia" w:eastAsiaTheme="majorEastAsia" w:cstheme="majorEastAsia"/>
                <w:lang w:val="en-US" w:eastAsia="zh-CN"/>
              </w:rPr>
              <w:t>需为公司总部副总级别及以上；主办人员</w:t>
            </w:r>
            <w:r>
              <w:rPr>
                <w:rFonts w:hint="eastAsia" w:asciiTheme="majorEastAsia" w:hAnsiTheme="majorEastAsia" w:eastAsiaTheme="majorEastAsia" w:cstheme="majorEastAsia"/>
              </w:rPr>
              <w:t>2022年全年完成发行银行间市场债务融资工具产品3支及以上得5分；否则不得分。</w:t>
            </w:r>
          </w:p>
          <w:p>
            <w:pPr>
              <w:pStyle w:val="2"/>
              <w:rPr>
                <w:rFonts w:hint="eastAsia"/>
              </w:rPr>
            </w:pPr>
          </w:p>
          <w:p>
            <w:pPr>
              <w:pStyle w:val="8"/>
              <w:rPr>
                <w:rFonts w:hint="eastAsia" w:asciiTheme="majorEastAsia" w:hAnsiTheme="majorEastAsia" w:eastAsiaTheme="majorEastAsia" w:cstheme="majorEastAsia"/>
                <w:kern w:val="2"/>
                <w:sz w:val="21"/>
                <w:szCs w:val="22"/>
                <w:lang w:val="en-US" w:eastAsia="zh-CN" w:bidi="ar-SA"/>
              </w:rPr>
            </w:pPr>
            <w:r>
              <w:rPr>
                <w:rFonts w:hint="eastAsia" w:asciiTheme="majorEastAsia" w:hAnsiTheme="majorEastAsia" w:eastAsiaTheme="majorEastAsia" w:cstheme="majorEastAsia"/>
                <w:lang w:val="en-US" w:eastAsia="zh-CN"/>
              </w:rPr>
              <w:t>注：</w:t>
            </w:r>
            <w:r>
              <w:rPr>
                <w:rFonts w:hint="eastAsia" w:asciiTheme="majorEastAsia" w:hAnsiTheme="majorEastAsia" w:eastAsiaTheme="majorEastAsia" w:cstheme="majorEastAsia"/>
              </w:rPr>
              <w:t>需提供相关证明</w:t>
            </w:r>
            <w:r>
              <w:rPr>
                <w:rFonts w:hint="eastAsia" w:asciiTheme="majorEastAsia" w:hAnsiTheme="majorEastAsia" w:eastAsiaTheme="majorEastAsia" w:cstheme="majorEastAsia"/>
                <w:lang w:eastAsia="zh-CN"/>
              </w:rPr>
              <w:t>。</w:t>
            </w:r>
          </w:p>
        </w:tc>
        <w:tc>
          <w:tcPr>
            <w:tcW w:w="1090" w:type="dxa"/>
            <w:tcBorders>
              <w:tl2br w:val="nil"/>
              <w:tr2bl w:val="nil"/>
            </w:tcBorders>
            <w:vAlign w:val="center"/>
          </w:tcPr>
          <w:p>
            <w:pPr>
              <w:widowControl/>
              <w:spacing w:line="500" w:lineRule="exact"/>
              <w:jc w:val="center"/>
              <w:rPr>
                <w:rFonts w:hint="eastAsia" w:asciiTheme="majorEastAsia" w:hAnsiTheme="majorEastAsia" w:eastAsiaTheme="majorEastAsia" w:cstheme="majorEastAsia"/>
                <w:color w:val="000000"/>
                <w:kern w:val="0"/>
                <w:sz w:val="21"/>
                <w:szCs w:val="21"/>
                <w:lang w:val="en-US" w:eastAsia="zh-CN" w:bidi="ar-SA"/>
              </w:rPr>
            </w:pPr>
            <w:r>
              <w:rPr>
                <w:rFonts w:hint="eastAsia" w:asciiTheme="majorEastAsia" w:hAnsiTheme="majorEastAsia" w:eastAsiaTheme="majorEastAsia" w:cstheme="majorEastAsia"/>
                <w:color w:val="000000"/>
                <w:kern w:val="0"/>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930" w:type="dxa"/>
            <w:gridSpan w:val="3"/>
            <w:tcBorders>
              <w:tl2br w:val="nil"/>
              <w:tr2bl w:val="nil"/>
            </w:tcBorders>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Pr>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default"/>
          <w:lang w:val="en-US" w:eastAsia="zh-CN"/>
        </w:rPr>
      </w:pPr>
    </w:p>
    <w:p>
      <w:pPr>
        <w:pStyle w:val="2"/>
        <w:rPr>
          <w:rFonts w:ascii="仿宋_GB2312" w:hAnsi="仿宋" w:eastAsia="仿宋_GB2312"/>
        </w:rPr>
      </w:pPr>
    </w:p>
    <w:p/>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w:t>
      </w:r>
      <w:r>
        <w:rPr>
          <w:rFonts w:hint="eastAsia" w:ascii="仿宋" w:hAnsi="仿宋" w:eastAsia="仿宋" w:cs="仿宋_GB2312"/>
          <w:kern w:val="0"/>
          <w:sz w:val="30"/>
          <w:szCs w:val="30"/>
          <w:lang w:eastAsia="zh-CN"/>
        </w:rPr>
        <w:t>PPN</w:t>
      </w:r>
      <w:r>
        <w:rPr>
          <w:rFonts w:hint="eastAsia" w:ascii="仿宋" w:hAnsi="仿宋" w:eastAsia="仿宋" w:cs="仿宋_GB2312"/>
          <w:kern w:val="0"/>
          <w:sz w:val="30"/>
          <w:szCs w:val="30"/>
        </w:rPr>
        <w:t>主承销商招标文件，经审查和完全理解了所有文件后，愿意以年化承销费用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w:pict>
          <v:line id="Line 2" o:spid="_x0000_s1026" o:spt="20" style="position:absolute;left:0pt;margin-left:-51.4pt;margin-top:40.05pt;height:0pt;width:509.2pt;z-index:251659264;mso-width-relative:page;mso-height-relative:page;"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v:path arrowok="t"/>
            <v:fill focussize="0,0"/>
            <v:stroke weight="1.5pt"/>
            <v:imagedata o:title=""/>
            <o:lock v:ext="edit"/>
          </v:line>
        </w:pic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6"/>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7"/>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w:pict>
          <v:shape id="Text Box 3" o:spid="_x0000_s1028" o:spt="202" type="#_x0000_t202" style="position:absolute;left:0pt;margin-left:74pt;margin-top:4.45pt;height:161.05pt;width:276.1pt;z-index:251660288;mso-width-relative:page;mso-height-relative:page;" filled="f"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path/>
            <v:fill on="f" focussize="0,0"/>
            <v:stroke weight="0.5pt" joinstyle="miter"/>
            <v:imagedata o:title=""/>
            <o:lock v:ext="edit"/>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w:pict>
          <v:line id="Line 4" o:spid="_x0000_s1027" o:spt="20" style="position:absolute;left:0pt;margin-left:-35.7pt;margin-top:38.5pt;height:0pt;width:509.15pt;z-index:251661312;mso-width-relative:page;mso-height-relative:page;"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v:path arrowok="t"/>
            <v:fill focussize="0,0"/>
            <v:stroke weight="1.5pt"/>
            <v:imagedata o:title=""/>
            <o:lock v:ext="edit"/>
          </v:line>
        </w:pic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5"/>
        <w:spacing w:line="600" w:lineRule="exact"/>
        <w:ind w:left="200" w:firstLine="0" w:firstLineChars="0"/>
        <w:rPr>
          <w:rFonts w:ascii="仿宋" w:hAnsi="仿宋" w:eastAsia="仿宋" w:cs="仿宋_GB2312"/>
          <w:sz w:val="30"/>
          <w:szCs w:val="30"/>
        </w:rPr>
      </w:pPr>
    </w:p>
    <w:p>
      <w:pPr>
        <w:pStyle w:val="45"/>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7"/>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5"/>
        <w:spacing w:line="600" w:lineRule="exact"/>
        <w:ind w:firstLine="0" w:firstLineChars="0"/>
        <w:rPr>
          <w:rFonts w:ascii="仿宋" w:hAnsi="仿宋" w:eastAsia="仿宋" w:cs="仿宋_GB2312"/>
          <w:sz w:val="30"/>
          <w:szCs w:val="30"/>
        </w:rPr>
      </w:pPr>
    </w:p>
    <w:p>
      <w:pPr>
        <w:pStyle w:val="8"/>
        <w:rPr>
          <w:rFonts w:ascii="仿宋" w:hAnsi="仿宋" w:eastAsia="仿宋" w:cs="仿宋_GB2312"/>
          <w:color w:val="111318"/>
          <w:kern w:val="0"/>
          <w:sz w:val="30"/>
          <w:szCs w:val="30"/>
        </w:rPr>
      </w:pPr>
    </w:p>
    <w:p>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b/>
          <w:sz w:val="36"/>
          <w:szCs w:val="36"/>
        </w:rPr>
      </w:pPr>
    </w:p>
    <w:p/>
    <w:p>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5"/>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7"/>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5"/>
        <w:spacing w:line="600" w:lineRule="exact"/>
        <w:ind w:left="200" w:firstLine="0" w:firstLineChars="0"/>
        <w:rPr>
          <w:rFonts w:ascii="仿宋" w:hAnsi="仿宋" w:eastAsia="仿宋"/>
          <w:sz w:val="32"/>
          <w:szCs w:val="32"/>
        </w:rPr>
      </w:pPr>
    </w:p>
    <w:p>
      <w:pPr>
        <w:pStyle w:val="45"/>
        <w:spacing w:line="600" w:lineRule="exact"/>
        <w:ind w:left="200" w:firstLine="0" w:firstLineChars="0"/>
        <w:rPr>
          <w:rFonts w:ascii="仿宋" w:hAnsi="仿宋" w:eastAsia="仿宋"/>
          <w:sz w:val="32"/>
          <w:szCs w:val="32"/>
        </w:rPr>
      </w:pPr>
    </w:p>
    <w:p>
      <w:pPr>
        <w:spacing w:line="600" w:lineRule="exact"/>
        <w:rPr>
          <w:rFonts w:ascii="仿宋" w:hAnsi="仿宋" w:eastAsia="仿宋" w:cs="仿宋_GB2312"/>
          <w:sz w:val="30"/>
          <w:szCs w:val="30"/>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上报交易商协会注册材料清单；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18</w:t>
    </w:r>
    <w:r>
      <w:rPr>
        <w:lang w:val="zh-CN"/>
      </w:rPr>
      <w:fldChar w:fldCharType="end"/>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5MmZkNjViZTllZjZlZDRkNTMyODMwNTI0NjFmNjQifQ=="/>
  </w:docVars>
  <w:rsids>
    <w:rsidRoot w:val="00AB7749"/>
    <w:rsid w:val="000010D3"/>
    <w:rsid w:val="000505E2"/>
    <w:rsid w:val="00055EDF"/>
    <w:rsid w:val="00060723"/>
    <w:rsid w:val="00073533"/>
    <w:rsid w:val="000754B2"/>
    <w:rsid w:val="00091434"/>
    <w:rsid w:val="00093270"/>
    <w:rsid w:val="000A6B63"/>
    <w:rsid w:val="000B57F0"/>
    <w:rsid w:val="000D1C08"/>
    <w:rsid w:val="000E18B9"/>
    <w:rsid w:val="000E25B5"/>
    <w:rsid w:val="00105F87"/>
    <w:rsid w:val="001066C5"/>
    <w:rsid w:val="00107DE9"/>
    <w:rsid w:val="00114FDF"/>
    <w:rsid w:val="001178D8"/>
    <w:rsid w:val="00135481"/>
    <w:rsid w:val="001362F2"/>
    <w:rsid w:val="00163BA5"/>
    <w:rsid w:val="00175036"/>
    <w:rsid w:val="001D0115"/>
    <w:rsid w:val="001E1E43"/>
    <w:rsid w:val="002131FA"/>
    <w:rsid w:val="00217CE0"/>
    <w:rsid w:val="0022137E"/>
    <w:rsid w:val="00237362"/>
    <w:rsid w:val="002934D0"/>
    <w:rsid w:val="002B4FD5"/>
    <w:rsid w:val="002C57FB"/>
    <w:rsid w:val="002C676C"/>
    <w:rsid w:val="002D0D49"/>
    <w:rsid w:val="002D3F2A"/>
    <w:rsid w:val="002E10C6"/>
    <w:rsid w:val="002E67EC"/>
    <w:rsid w:val="002F10D2"/>
    <w:rsid w:val="003048CA"/>
    <w:rsid w:val="00305E8A"/>
    <w:rsid w:val="003149B3"/>
    <w:rsid w:val="00323871"/>
    <w:rsid w:val="00333984"/>
    <w:rsid w:val="0034389B"/>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6A02"/>
    <w:rsid w:val="00427F0D"/>
    <w:rsid w:val="00440800"/>
    <w:rsid w:val="004552A8"/>
    <w:rsid w:val="00470702"/>
    <w:rsid w:val="004831E7"/>
    <w:rsid w:val="004912AA"/>
    <w:rsid w:val="00492292"/>
    <w:rsid w:val="004A28F4"/>
    <w:rsid w:val="004A3A0A"/>
    <w:rsid w:val="004B06F0"/>
    <w:rsid w:val="004B17FE"/>
    <w:rsid w:val="004B6FF6"/>
    <w:rsid w:val="004C7CD4"/>
    <w:rsid w:val="004E5065"/>
    <w:rsid w:val="00505784"/>
    <w:rsid w:val="00514C78"/>
    <w:rsid w:val="00517062"/>
    <w:rsid w:val="00522AD3"/>
    <w:rsid w:val="00550B52"/>
    <w:rsid w:val="005537E6"/>
    <w:rsid w:val="00596E51"/>
    <w:rsid w:val="005C28E8"/>
    <w:rsid w:val="005D3438"/>
    <w:rsid w:val="005D5DE4"/>
    <w:rsid w:val="005E5B5A"/>
    <w:rsid w:val="0060380D"/>
    <w:rsid w:val="00606D76"/>
    <w:rsid w:val="00612EF9"/>
    <w:rsid w:val="00616911"/>
    <w:rsid w:val="006215A2"/>
    <w:rsid w:val="00633D35"/>
    <w:rsid w:val="00650807"/>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5346"/>
    <w:rsid w:val="0070431F"/>
    <w:rsid w:val="00710922"/>
    <w:rsid w:val="00712394"/>
    <w:rsid w:val="00723D4E"/>
    <w:rsid w:val="00765008"/>
    <w:rsid w:val="00792F1A"/>
    <w:rsid w:val="00794FC7"/>
    <w:rsid w:val="007A38F1"/>
    <w:rsid w:val="007B00FC"/>
    <w:rsid w:val="007B2C74"/>
    <w:rsid w:val="007B32FA"/>
    <w:rsid w:val="007B7FA7"/>
    <w:rsid w:val="007C50DD"/>
    <w:rsid w:val="007C513A"/>
    <w:rsid w:val="007D4183"/>
    <w:rsid w:val="007E3EA6"/>
    <w:rsid w:val="007F0151"/>
    <w:rsid w:val="00803EB3"/>
    <w:rsid w:val="008141F0"/>
    <w:rsid w:val="00822D02"/>
    <w:rsid w:val="008336C0"/>
    <w:rsid w:val="00841A8E"/>
    <w:rsid w:val="00851F0D"/>
    <w:rsid w:val="00853789"/>
    <w:rsid w:val="00872707"/>
    <w:rsid w:val="008A0860"/>
    <w:rsid w:val="008B11F1"/>
    <w:rsid w:val="008D6678"/>
    <w:rsid w:val="008E6107"/>
    <w:rsid w:val="008F1821"/>
    <w:rsid w:val="008F205D"/>
    <w:rsid w:val="008F661F"/>
    <w:rsid w:val="009012C8"/>
    <w:rsid w:val="0090319A"/>
    <w:rsid w:val="00904FA2"/>
    <w:rsid w:val="0090795A"/>
    <w:rsid w:val="00933D73"/>
    <w:rsid w:val="00935317"/>
    <w:rsid w:val="0095653F"/>
    <w:rsid w:val="00966B7D"/>
    <w:rsid w:val="0099708F"/>
    <w:rsid w:val="009B27A6"/>
    <w:rsid w:val="009B4052"/>
    <w:rsid w:val="009B7A0E"/>
    <w:rsid w:val="009E4865"/>
    <w:rsid w:val="009E504C"/>
    <w:rsid w:val="00A168B0"/>
    <w:rsid w:val="00A41284"/>
    <w:rsid w:val="00A41C61"/>
    <w:rsid w:val="00A440DC"/>
    <w:rsid w:val="00A4571B"/>
    <w:rsid w:val="00A6327D"/>
    <w:rsid w:val="00A72984"/>
    <w:rsid w:val="00A7420D"/>
    <w:rsid w:val="00AA518A"/>
    <w:rsid w:val="00AB7749"/>
    <w:rsid w:val="00AD323A"/>
    <w:rsid w:val="00AF176D"/>
    <w:rsid w:val="00B018D3"/>
    <w:rsid w:val="00B0713E"/>
    <w:rsid w:val="00B17324"/>
    <w:rsid w:val="00B174E0"/>
    <w:rsid w:val="00B30111"/>
    <w:rsid w:val="00B44685"/>
    <w:rsid w:val="00B7439C"/>
    <w:rsid w:val="00B77E24"/>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D3037"/>
    <w:rsid w:val="00DE179E"/>
    <w:rsid w:val="00DF1444"/>
    <w:rsid w:val="00E0194D"/>
    <w:rsid w:val="00E02807"/>
    <w:rsid w:val="00E246E1"/>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7236A"/>
    <w:rsid w:val="00F9053B"/>
    <w:rsid w:val="00F9491B"/>
    <w:rsid w:val="00F97411"/>
    <w:rsid w:val="00FB7AB6"/>
    <w:rsid w:val="00FC2A4C"/>
    <w:rsid w:val="00FC3873"/>
    <w:rsid w:val="00FD4A6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text"/>
    <w:basedOn w:val="1"/>
    <w:link w:val="37"/>
    <w:unhideWhenUsed/>
    <w:qFormat/>
    <w:uiPriority w:val="99"/>
    <w:pPr>
      <w:jc w:val="left"/>
    </w:pPr>
    <w:rPr>
      <w:rFonts w:asciiTheme="minorHAnsi" w:hAnsiTheme="minorHAnsi" w:eastAsiaTheme="minorEastAsia" w:cstheme="minorBidi"/>
    </w:rPr>
  </w:style>
  <w:style w:type="paragraph" w:styleId="6">
    <w:name w:val="Salutation"/>
    <w:basedOn w:val="1"/>
    <w:next w:val="1"/>
    <w:link w:val="36"/>
    <w:unhideWhenUsed/>
    <w:qFormat/>
    <w:uiPriority w:val="99"/>
    <w:rPr>
      <w:rFonts w:ascii="Times New Roman" w:hAnsi="Times New Roman" w:eastAsiaTheme="minorEastAsia" w:cstheme="minorBidi"/>
      <w:sz w:val="32"/>
      <w:szCs w:val="32"/>
    </w:rPr>
  </w:style>
  <w:style w:type="paragraph" w:styleId="7">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8">
    <w:name w:val="Body Text"/>
    <w:basedOn w:val="1"/>
    <w:qFormat/>
    <w:uiPriority w:val="0"/>
    <w:pPr>
      <w:spacing w:after="120"/>
    </w:pPr>
  </w:style>
  <w:style w:type="paragraph" w:styleId="9">
    <w:name w:val="Plain Text"/>
    <w:basedOn w:val="1"/>
    <w:link w:val="39"/>
    <w:qFormat/>
    <w:uiPriority w:val="0"/>
    <w:rPr>
      <w:rFonts w:ascii="宋体" w:hAnsi="Courier New" w:eastAsiaTheme="minorEastAsia" w:cstheme="minorBidi"/>
    </w:rPr>
  </w:style>
  <w:style w:type="paragraph" w:styleId="10">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1">
    <w:name w:val="Balloon Text"/>
    <w:basedOn w:val="1"/>
    <w:link w:val="42"/>
    <w:unhideWhenUsed/>
    <w:qFormat/>
    <w:uiPriority w:val="99"/>
    <w:rPr>
      <w:rFonts w:asciiTheme="minorHAnsi" w:hAnsiTheme="minorHAnsi" w:eastAsiaTheme="minorEastAsia" w:cstheme="minorBidi"/>
      <w:sz w:val="16"/>
      <w:szCs w:val="16"/>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5"/>
    <w:next w:val="5"/>
    <w:link w:val="38"/>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FollowedHyperlink"/>
    <w:qFormat/>
    <w:uiPriority w:val="0"/>
    <w:rPr>
      <w:color w:val="800080"/>
      <w:u w:val="single"/>
    </w:rPr>
  </w:style>
  <w:style w:type="character" w:styleId="21">
    <w:name w:val="annotation reference"/>
    <w:basedOn w:val="19"/>
    <w:unhideWhenUsed/>
    <w:qFormat/>
    <w:uiPriority w:val="99"/>
    <w:rPr>
      <w:sz w:val="21"/>
      <w:szCs w:val="21"/>
    </w:rPr>
  </w:style>
  <w:style w:type="character" w:customStyle="1" w:styleId="22">
    <w:name w:val="页眉 Char"/>
    <w:basedOn w:val="19"/>
    <w:link w:val="13"/>
    <w:qFormat/>
    <w:uiPriority w:val="99"/>
    <w:rPr>
      <w:sz w:val="18"/>
      <w:szCs w:val="18"/>
    </w:rPr>
  </w:style>
  <w:style w:type="character" w:customStyle="1" w:styleId="23">
    <w:name w:val="页脚 Char"/>
    <w:basedOn w:val="19"/>
    <w:link w:val="12"/>
    <w:qFormat/>
    <w:uiPriority w:val="99"/>
    <w:rPr>
      <w:sz w:val="18"/>
      <w:szCs w:val="18"/>
    </w:rPr>
  </w:style>
  <w:style w:type="character" w:customStyle="1" w:styleId="24">
    <w:name w:val="标题 2 Char"/>
    <w:basedOn w:val="19"/>
    <w:link w:val="3"/>
    <w:qFormat/>
    <w:uiPriority w:val="0"/>
    <w:rPr>
      <w:rFonts w:ascii="宋体" w:hAnsi="宋体" w:eastAsia="宋体" w:cs="Times New Roman"/>
      <w:b/>
      <w:bCs/>
      <w:sz w:val="24"/>
      <w:szCs w:val="20"/>
      <w:lang w:val="zh-CN"/>
    </w:rPr>
  </w:style>
  <w:style w:type="character" w:customStyle="1" w:styleId="25">
    <w:name w:val="标题 3 Char"/>
    <w:basedOn w:val="19"/>
    <w:link w:val="4"/>
    <w:qFormat/>
    <w:uiPriority w:val="9"/>
    <w:rPr>
      <w:rFonts w:ascii="Calibri" w:hAnsi="Calibri" w:eastAsia="宋体" w:cs="Times New Roman"/>
      <w:b/>
      <w:bCs/>
      <w:sz w:val="32"/>
      <w:szCs w:val="32"/>
    </w:rPr>
  </w:style>
  <w:style w:type="character" w:customStyle="1" w:styleId="26">
    <w:name w:val="日期 Char"/>
    <w:basedOn w:val="19"/>
    <w:qFormat/>
    <w:uiPriority w:val="99"/>
  </w:style>
  <w:style w:type="character" w:customStyle="1" w:styleId="27">
    <w:name w:val="Plain Text Char1"/>
    <w:basedOn w:val="19"/>
    <w:semiHidden/>
    <w:qFormat/>
    <w:uiPriority w:val="99"/>
    <w:rPr>
      <w:rFonts w:ascii="宋体" w:hAnsi="Courier New" w:eastAsia="宋体" w:cs="Courier New"/>
      <w:szCs w:val="21"/>
    </w:rPr>
  </w:style>
  <w:style w:type="character" w:customStyle="1" w:styleId="28">
    <w:name w:val="批注文字 Char"/>
    <w:basedOn w:val="19"/>
    <w:qFormat/>
    <w:uiPriority w:val="99"/>
  </w:style>
  <w:style w:type="character" w:customStyle="1" w:styleId="29">
    <w:name w:val="称呼 Char"/>
    <w:basedOn w:val="19"/>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9"/>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9"/>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9"/>
    <w:link w:val="6"/>
    <w:semiHidden/>
    <w:qFormat/>
    <w:uiPriority w:val="99"/>
    <w:rPr>
      <w:rFonts w:ascii="Calibri" w:hAnsi="Calibri" w:eastAsia="宋体" w:cs="Times New Roman"/>
    </w:rPr>
  </w:style>
  <w:style w:type="character" w:customStyle="1" w:styleId="37">
    <w:name w:val="批注文字 Char1"/>
    <w:basedOn w:val="19"/>
    <w:link w:val="5"/>
    <w:semiHidden/>
    <w:qFormat/>
    <w:uiPriority w:val="99"/>
    <w:rPr>
      <w:rFonts w:ascii="Calibri" w:hAnsi="Calibri" w:eastAsia="宋体" w:cs="Times New Roman"/>
    </w:rPr>
  </w:style>
  <w:style w:type="character" w:customStyle="1" w:styleId="38">
    <w:name w:val="批注主题 Char1"/>
    <w:basedOn w:val="37"/>
    <w:link w:val="16"/>
    <w:semiHidden/>
    <w:qFormat/>
    <w:uiPriority w:val="99"/>
    <w:rPr>
      <w:rFonts w:ascii="Calibri" w:hAnsi="Calibri" w:eastAsia="宋体" w:cs="Times New Roman"/>
      <w:b/>
      <w:bCs/>
    </w:rPr>
  </w:style>
  <w:style w:type="character" w:customStyle="1" w:styleId="39">
    <w:name w:val="纯文本 Char1"/>
    <w:basedOn w:val="19"/>
    <w:link w:val="9"/>
    <w:semiHidden/>
    <w:qFormat/>
    <w:uiPriority w:val="99"/>
    <w:rPr>
      <w:rFonts w:ascii="宋体" w:hAnsi="Courier New" w:eastAsia="宋体" w:cs="Courier New"/>
      <w:szCs w:val="21"/>
    </w:rPr>
  </w:style>
  <w:style w:type="character" w:customStyle="1" w:styleId="40">
    <w:name w:val="日期 Char1"/>
    <w:basedOn w:val="19"/>
    <w:link w:val="10"/>
    <w:semiHidden/>
    <w:qFormat/>
    <w:uiPriority w:val="99"/>
    <w:rPr>
      <w:rFonts w:ascii="Calibri" w:hAnsi="Calibri" w:eastAsia="宋体" w:cs="Times New Roman"/>
    </w:rPr>
  </w:style>
  <w:style w:type="character" w:customStyle="1" w:styleId="41">
    <w:name w:val="结束语 Char1"/>
    <w:basedOn w:val="19"/>
    <w:link w:val="7"/>
    <w:semiHidden/>
    <w:qFormat/>
    <w:uiPriority w:val="99"/>
    <w:rPr>
      <w:rFonts w:ascii="Calibri" w:hAnsi="Calibri" w:eastAsia="宋体" w:cs="Times New Roman"/>
    </w:rPr>
  </w:style>
  <w:style w:type="character" w:customStyle="1" w:styleId="42">
    <w:name w:val="批注框文本 Char1"/>
    <w:basedOn w:val="19"/>
    <w:link w:val="11"/>
    <w:semiHidden/>
    <w:qFormat/>
    <w:uiPriority w:val="99"/>
    <w:rPr>
      <w:rFonts w:ascii="Calibri" w:hAnsi="Calibri" w:eastAsia="宋体" w:cs="Times New Roman"/>
      <w:sz w:val="18"/>
      <w:szCs w:val="18"/>
    </w:rPr>
  </w:style>
  <w:style w:type="character" w:customStyle="1" w:styleId="43">
    <w:name w:val="页眉 Char1"/>
    <w:basedOn w:val="19"/>
    <w:semiHidden/>
    <w:qFormat/>
    <w:uiPriority w:val="99"/>
    <w:rPr>
      <w:kern w:val="2"/>
      <w:sz w:val="18"/>
      <w:szCs w:val="18"/>
    </w:rPr>
  </w:style>
  <w:style w:type="character" w:customStyle="1" w:styleId="44">
    <w:name w:val="页脚 Char1"/>
    <w:basedOn w:val="19"/>
    <w:semiHidden/>
    <w:qFormat/>
    <w:uiPriority w:val="99"/>
    <w:rPr>
      <w:kern w:val="2"/>
      <w:sz w:val="18"/>
      <w:szCs w:val="18"/>
    </w:rPr>
  </w:style>
  <w:style w:type="paragraph"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69CDD7-39C5-4B40-979D-69BE454A982A}">
  <ds:schemaRefs/>
</ds:datastoreItem>
</file>

<file path=docProps/app.xml><?xml version="1.0" encoding="utf-8"?>
<Properties xmlns="http://schemas.openxmlformats.org/officeDocument/2006/extended-properties" xmlns:vt="http://schemas.openxmlformats.org/officeDocument/2006/docPropsVTypes">
  <Template>Normal</Template>
  <Pages>25</Pages>
  <Words>7187</Words>
  <Characters>7450</Characters>
  <Lines>60</Lines>
  <Paragraphs>16</Paragraphs>
  <TotalTime>0</TotalTime>
  <ScaleCrop>false</ScaleCrop>
  <LinksUpToDate>false</LinksUpToDate>
  <CharactersWithSpaces>7920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2022-12-04T05:31:00Z</dcterms:created>
  <dc:creator>dell</dc:creator>
  <cp:lastModifiedBy>美喵喵</cp:lastModifiedBy>
  <cp:lastPrinted>2022-12-01T09:42:00Z</cp:lastPrinted>
  <dcterms:modified xsi:type="dcterms:W3CDTF">2023-05-08T10:30:41Z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26C21935CB48460DA7302F64E8A5B679</vt:lpwstr>
  </property>
</Properties>
</file>