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pPr>
        <w:autoSpaceDE w:val="0"/>
        <w:autoSpaceDN w:val="0"/>
        <w:adjustRightInd w:val="0"/>
        <w:spacing w:line="600" w:lineRule="exact"/>
        <w:jc w:val="center"/>
        <w:rPr>
          <w:rFonts w:hint="eastAsia" w:ascii="仿宋" w:hAnsi="仿宋" w:eastAsia="仿宋" w:cs="仿宋"/>
          <w:b/>
          <w:color w:val="05060A"/>
          <w:kern w:val="0"/>
          <w:sz w:val="36"/>
          <w:szCs w:val="36"/>
        </w:rPr>
      </w:pPr>
      <w:r>
        <w:rPr>
          <w:rFonts w:hint="eastAsia" w:ascii="仿宋" w:hAnsi="仿宋" w:eastAsia="仿宋" w:cs="仿宋"/>
          <w:b/>
          <w:color w:val="05060A"/>
          <w:kern w:val="0"/>
          <w:sz w:val="36"/>
          <w:szCs w:val="36"/>
        </w:rPr>
        <w:t>供应链资产支持专项计划项目主承销商（联合体）</w:t>
      </w:r>
    </w:p>
    <w:p>
      <w:pPr>
        <w:autoSpaceDE w:val="0"/>
        <w:autoSpaceDN w:val="0"/>
        <w:adjustRightInd w:val="0"/>
        <w:spacing w:line="600" w:lineRule="exact"/>
        <w:jc w:val="center"/>
        <w:rPr>
          <w:rFonts w:ascii="仿宋" w:hAnsi="仿宋" w:eastAsia="仿宋" w:cs="仿宋_GB2312"/>
          <w:b/>
          <w:color w:val="05060A"/>
          <w:kern w:val="0"/>
          <w:sz w:val="36"/>
          <w:szCs w:val="36"/>
        </w:rPr>
      </w:pPr>
      <w:r>
        <w:rPr>
          <w:rFonts w:hint="eastAsia" w:ascii="仿宋" w:hAnsi="仿宋" w:eastAsia="仿宋" w:cs="仿宋"/>
          <w:b/>
          <w:color w:val="05060A"/>
          <w:kern w:val="0"/>
          <w:sz w:val="36"/>
          <w:szCs w:val="36"/>
        </w:rPr>
        <w:t>招标文件</w:t>
      </w:r>
    </w:p>
    <w:p>
      <w:pPr>
        <w:autoSpaceDE w:val="0"/>
        <w:autoSpaceDN w:val="0"/>
        <w:adjustRightInd w:val="0"/>
        <w:spacing w:line="600" w:lineRule="exact"/>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许昌市投资集团有限公司202</w:t>
      </w: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年度资本市场债券发行已由相关部门批准实施，具备招标条件。</w:t>
      </w:r>
      <w:r>
        <w:rPr>
          <w:rFonts w:hint="eastAsia" w:ascii="仿宋" w:hAnsi="仿宋" w:eastAsia="仿宋" w:cs="仿宋_GB2312"/>
          <w:color w:val="000000" w:themeColor="text1"/>
          <w:kern w:val="0"/>
          <w:sz w:val="30"/>
          <w:szCs w:val="30"/>
          <w14:textFill>
            <w14:solidFill>
              <w14:schemeClr w14:val="tx1"/>
            </w14:solidFill>
          </w14:textFill>
        </w:rPr>
        <w:t>本次通过公开招标方式选择上海/深圳交易所（以下简称“交易所”）供应链资产支持专项计划（以下简称“供应链ABS”）发行主承销商（联合体），由其负责我公司供应链ABS产品发行工作，现就有关事宜告知如下:</w:t>
      </w:r>
    </w:p>
    <w:p>
      <w:pPr>
        <w:autoSpaceDE w:val="0"/>
        <w:autoSpaceDN w:val="0"/>
        <w:adjustRightInd w:val="0"/>
        <w:spacing w:line="600" w:lineRule="exact"/>
        <w:ind w:firstLine="602" w:firstLineChars="200"/>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一、项目概况</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（一）项目名称：许昌市投资集团有限公司选取供应链ABS发行主承销商项目（联合体）。</w:t>
      </w:r>
    </w:p>
    <w:p>
      <w:pPr>
        <w:autoSpaceDE w:val="0"/>
        <w:autoSpaceDN w:val="0"/>
        <w:adjustRightInd w:val="0"/>
        <w:spacing w:line="600" w:lineRule="exact"/>
        <w:ind w:firstLine="600" w:firstLineChars="20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（二）招标范围：根据招标人要求，完成招标人</w:t>
      </w:r>
      <w:r>
        <w:rPr>
          <w:rFonts w:hint="eastAsia" w:ascii="仿宋" w:hAnsi="仿宋" w:eastAsia="仿宋" w:cs="仿宋_GB2312"/>
          <w:color w:val="000000" w:themeColor="text1"/>
          <w:kern w:val="0"/>
          <w:sz w:val="30"/>
          <w:szCs w:val="30"/>
          <w14:textFill>
            <w14:solidFill>
              <w14:schemeClr w14:val="tx1"/>
            </w14:solidFill>
          </w14:textFill>
        </w:rPr>
        <w:t>供应链ABS</w:t>
      </w:r>
      <w:r>
        <w:rPr>
          <w:rFonts w:hint="eastAsia" w:ascii="仿宋" w:hAnsi="仿宋" w:eastAsia="仿宋" w:cs="仿宋"/>
          <w:color w:val="000000" w:themeColor="text1"/>
          <w:kern w:val="0"/>
          <w:sz w:val="30"/>
          <w:szCs w:val="30"/>
          <w14:textFill>
            <w14:solidFill>
              <w14:schemeClr w14:val="tx1"/>
            </w14:solidFill>
          </w14:textFill>
        </w:rPr>
        <w:t>发行主承销服务及产品存续过程中的全部工作内容。包括但不限于：</w:t>
      </w:r>
      <w:r>
        <w:rPr>
          <w:rFonts w:hint="eastAsia" w:ascii="仿宋" w:hAnsi="仿宋" w:eastAsia="仿宋" w:cs="仿宋_GB2312"/>
          <w:color w:val="000000" w:themeColor="text1"/>
          <w:kern w:val="0"/>
          <w:sz w:val="30"/>
          <w:szCs w:val="30"/>
          <w14:textFill>
            <w14:solidFill>
              <w14:schemeClr w14:val="tx1"/>
            </w14:solidFill>
          </w14:textFill>
        </w:rPr>
        <w:t>发行方案编制、报批、市场询价、发行承销、登记挂牌、兑付兑息及其他存续期内的相关事宜</w:t>
      </w:r>
      <w:r>
        <w:rPr>
          <w:rFonts w:hint="eastAsia" w:ascii="仿宋" w:hAnsi="仿宋" w:eastAsia="仿宋" w:cs="仿宋"/>
          <w:color w:val="000000" w:themeColor="text1"/>
          <w:kern w:val="0"/>
          <w:sz w:val="30"/>
          <w:szCs w:val="30"/>
          <w14:textFill>
            <w14:solidFill>
              <w14:schemeClr w14:val="tx1"/>
            </w14:solidFill>
          </w14:textFill>
        </w:rPr>
        <w:t>。</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（三）发行规模：</w:t>
      </w:r>
      <w:r>
        <w:rPr>
          <w:rFonts w:hint="eastAsia" w:ascii="仿宋" w:hAnsi="仿宋" w:eastAsia="仿宋"/>
          <w:color w:val="000000" w:themeColor="text1"/>
          <w:kern w:val="0"/>
          <w:sz w:val="32"/>
          <w:szCs w:val="32"/>
          <w14:textFill>
            <w14:solidFill>
              <w14:schemeClr w14:val="tx1"/>
            </w14:solidFill>
          </w14:textFill>
        </w:rPr>
        <w:t>拟申报储架规模不超过</w:t>
      </w:r>
      <w:r>
        <w:rPr>
          <w:rFonts w:ascii="仿宋" w:hAnsi="仿宋" w:eastAsia="仿宋"/>
          <w:color w:val="000000" w:themeColor="text1"/>
          <w:kern w:val="0"/>
          <w:sz w:val="32"/>
          <w:szCs w:val="32"/>
          <w14:textFill>
            <w14:solidFill>
              <w14:schemeClr w14:val="tx1"/>
            </w14:solidFill>
          </w14:textFill>
        </w:rPr>
        <w:t>3</w:t>
      </w:r>
      <w:r>
        <w:rPr>
          <w:rFonts w:hint="eastAsia" w:ascii="仿宋" w:hAnsi="仿宋" w:eastAsia="仿宋"/>
          <w:color w:val="000000" w:themeColor="text1"/>
          <w:kern w:val="0"/>
          <w:sz w:val="32"/>
          <w:szCs w:val="32"/>
          <w14:textFill>
            <w14:solidFill>
              <w14:schemeClr w14:val="tx1"/>
            </w14:solidFill>
          </w14:textFill>
        </w:rPr>
        <w:t>0亿元。</w:t>
      </w:r>
    </w:p>
    <w:p>
      <w:pPr>
        <w:autoSpaceDE w:val="0"/>
        <w:autoSpaceDN w:val="0"/>
        <w:adjustRightInd w:val="0"/>
        <w:spacing w:line="600" w:lineRule="exact"/>
        <w:ind w:firstLine="600" w:firstLineChars="200"/>
        <w:rPr>
          <w:rFonts w:eastAsia="仿宋"/>
          <w:color w:val="000000" w:themeColor="text1"/>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（四）产品期限：单期发行不超过2年。</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（五）承销方式：余额包销。</w:t>
      </w:r>
    </w:p>
    <w:p>
      <w:pPr>
        <w:autoSpaceDE w:val="0"/>
        <w:autoSpaceDN w:val="0"/>
        <w:adjustRightInd w:val="0"/>
        <w:spacing w:line="600" w:lineRule="exact"/>
        <w:ind w:firstLine="600" w:firstLineChars="200"/>
        <w:rPr>
          <w:rFonts w:eastAsia="仿宋"/>
          <w:color w:val="000000" w:themeColor="text1"/>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（六）服务期限：自投标人中标之日起至储架项下每期产品发行及清算完毕为止。</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（七）服务标准：</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1、质量标准：投标人中标后所提供的服务以保障招标人顺利发行供应链ABS为目的，制定发行方案，组织项目工作团队，制作申报材料，以审批通过的标准为提供服务的基本标准，组建承销团并负责余额包销。</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highlight w:val="none"/>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2、时间标准：</w:t>
      </w:r>
      <w:r>
        <w:rPr>
          <w:rFonts w:hint="eastAsia" w:ascii="仿宋" w:hAnsi="仿宋" w:eastAsia="仿宋" w:cs="仿宋_GB2312"/>
          <w:color w:val="000000" w:themeColor="text1"/>
          <w:kern w:val="0"/>
          <w:sz w:val="30"/>
          <w:szCs w:val="30"/>
          <w:highlight w:val="none"/>
          <w14:textFill>
            <w14:solidFill>
              <w14:schemeClr w14:val="tx1"/>
            </w14:solidFill>
          </w14:textFill>
        </w:rPr>
        <w:t>（1）投标人中标后，限期2个月内拿到注册批文。（2）主承销商确定后，在接到发行人发行通知后1个月内完成当期资金募集。如遇特殊客观因素影响，经招标人同意，可给予最多1个月宽容期。</w:t>
      </w:r>
    </w:p>
    <w:p>
      <w:pPr>
        <w:pStyle w:val="8"/>
        <w:spacing w:after="0"/>
        <w:ind w:firstLine="600" w:firstLineChars="200"/>
        <w:rPr>
          <w:rFonts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kern w:val="0"/>
          <w:sz w:val="30"/>
          <w:szCs w:val="30"/>
          <w:highlight w:val="none"/>
          <w14:textFill>
            <w14:solidFill>
              <w14:schemeClr w14:val="tx1"/>
            </w14:solidFill>
          </w14:textFill>
        </w:rPr>
        <w:t>（八）</w:t>
      </w:r>
      <w:r>
        <w:rPr>
          <w:rFonts w:hint="eastAsia" w:ascii="仿宋" w:hAnsi="仿宋" w:eastAsia="仿宋" w:cs="仿宋"/>
          <w:color w:val="000000" w:themeColor="text1"/>
          <w:kern w:val="0"/>
          <w:sz w:val="30"/>
          <w:szCs w:val="30"/>
          <w:highlight w:val="none"/>
          <w:lang w:val="en-US" w:eastAsia="zh-CN"/>
          <w14:textFill>
            <w14:solidFill>
              <w14:schemeClr w14:val="tx1"/>
            </w14:solidFill>
          </w14:textFill>
        </w:rPr>
        <w:t>保证金：</w:t>
      </w:r>
      <w:r>
        <w:rPr>
          <w:rFonts w:hint="eastAsia" w:ascii="仿宋" w:hAnsi="仿宋" w:eastAsia="仿宋" w:cs="仿宋"/>
          <w:color w:val="000000" w:themeColor="text1"/>
          <w:kern w:val="0"/>
          <w:sz w:val="30"/>
          <w:szCs w:val="30"/>
          <w:highlight w:val="none"/>
          <w14:textFill>
            <w14:solidFill>
              <w14:schemeClr w14:val="tx1"/>
            </w14:solidFill>
          </w14:textFill>
        </w:rPr>
        <w:t>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rPr>
          <w:rFonts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（九）承销费用：固定承销费用。</w:t>
      </w:r>
    </w:p>
    <w:p>
      <w:pPr>
        <w:autoSpaceDE w:val="0"/>
        <w:autoSpaceDN w:val="0"/>
        <w:adjustRightInd w:val="0"/>
        <w:spacing w:line="600" w:lineRule="exact"/>
        <w:ind w:firstLine="602"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二、投标人资格要求</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（一）本项目为联合体投标，但仅限于券商+保理服务商的形式进行联合体投标，其中保理服务商为联合体牵头方，券商为联合体成员；</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（二）联合体牵头方保理服务商应符合国家相关部门规定的担任供应链ABS保理服务商的业务资格；</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（三）联合体成员券商或其全资子公司符合《资产证券化业务管理规定》规定的针对计划管理人的相关条件，具备监管部门颁发的资产管理业务资质；</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（四）有熟悉有关业务规则及操作程序的专业人员;</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（五）投标人具有为招标人提供建议、服务的专业能力和资源，具有充足的专业人员组成承销团队，具有ABS产品承销分销、进行ABS产品交易的能力；</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（六）具有良好的信誉、经营业绩和执业记录，并且最近三年内没有重大违法、违规行为。</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三、 招标申请文件原件递交截止时间及地点</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（一）报名日期：</w:t>
      </w:r>
      <w:r>
        <w:rPr>
          <w:rFonts w:ascii="仿宋" w:hAnsi="仿宋" w:eastAsia="仿宋" w:cs="仿宋_GB2312"/>
          <w:color w:val="000000" w:themeColor="text1"/>
          <w:kern w:val="0"/>
          <w:sz w:val="30"/>
          <w:szCs w:val="30"/>
          <w14:textFill>
            <w14:solidFill>
              <w14:schemeClr w14:val="tx1"/>
            </w14:solidFill>
          </w14:textFill>
        </w:rPr>
        <w:t>202</w:t>
      </w:r>
      <w:r>
        <w:rPr>
          <w:rFonts w:hint="eastAsia" w:ascii="仿宋" w:hAnsi="仿宋" w:eastAsia="仿宋" w:cs="仿宋_GB2312"/>
          <w:color w:val="000000" w:themeColor="text1"/>
          <w:kern w:val="0"/>
          <w:sz w:val="30"/>
          <w:szCs w:val="30"/>
          <w:lang w:val="en-US" w:eastAsia="zh-CN"/>
          <w14:textFill>
            <w14:solidFill>
              <w14:schemeClr w14:val="tx1"/>
            </w14:solidFill>
          </w14:textFill>
        </w:rPr>
        <w:t>3</w:t>
      </w:r>
      <w:r>
        <w:rPr>
          <w:rFonts w:hint="eastAsia" w:ascii="仿宋" w:hAnsi="仿宋" w:eastAsia="仿宋" w:cs="仿宋_GB2312"/>
          <w:color w:val="000000" w:themeColor="text1"/>
          <w:kern w:val="0"/>
          <w:sz w:val="30"/>
          <w:szCs w:val="30"/>
          <w14:textFill>
            <w14:solidFill>
              <w14:schemeClr w14:val="tx1"/>
            </w14:solidFill>
          </w14:textFill>
        </w:rPr>
        <w:t>年</w:t>
      </w:r>
      <w:r>
        <w:rPr>
          <w:rFonts w:hint="eastAsia" w:ascii="仿宋" w:hAnsi="仿宋" w:eastAsia="仿宋" w:cs="仿宋_GB2312"/>
          <w:color w:val="000000" w:themeColor="text1"/>
          <w:kern w:val="0"/>
          <w:sz w:val="30"/>
          <w:szCs w:val="30"/>
          <w:lang w:val="en-US" w:eastAsia="zh-CN"/>
          <w14:textFill>
            <w14:solidFill>
              <w14:schemeClr w14:val="tx1"/>
            </w14:solidFill>
          </w14:textFill>
        </w:rPr>
        <w:t>5</w:t>
      </w:r>
      <w:r>
        <w:rPr>
          <w:rFonts w:ascii="仿宋" w:hAnsi="仿宋" w:eastAsia="仿宋" w:cs="仿宋_GB2312"/>
          <w:color w:val="000000" w:themeColor="text1"/>
          <w:kern w:val="0"/>
          <w:sz w:val="30"/>
          <w:szCs w:val="30"/>
          <w14:textFill>
            <w14:solidFill>
              <w14:schemeClr w14:val="tx1"/>
            </w14:solidFill>
          </w14:textFill>
        </w:rPr>
        <w:t>月</w:t>
      </w:r>
      <w:r>
        <w:rPr>
          <w:rFonts w:hint="eastAsia" w:ascii="仿宋" w:hAnsi="仿宋" w:eastAsia="仿宋" w:cs="仿宋_GB2312"/>
          <w:color w:val="000000" w:themeColor="text1"/>
          <w:kern w:val="0"/>
          <w:sz w:val="30"/>
          <w:szCs w:val="30"/>
          <w:lang w:val="en-US" w:eastAsia="zh-CN"/>
          <w14:textFill>
            <w14:solidFill>
              <w14:schemeClr w14:val="tx1"/>
            </w14:solidFill>
          </w14:textFill>
        </w:rPr>
        <w:t>9</w:t>
      </w:r>
      <w:r>
        <w:rPr>
          <w:rFonts w:hint="eastAsia" w:ascii="仿宋" w:hAnsi="仿宋" w:eastAsia="仿宋" w:cs="仿宋_GB2312"/>
          <w:color w:val="000000" w:themeColor="text1"/>
          <w:kern w:val="0"/>
          <w:sz w:val="30"/>
          <w:szCs w:val="30"/>
          <w14:textFill>
            <w14:solidFill>
              <w14:schemeClr w14:val="tx1"/>
            </w14:solidFill>
          </w14:textFill>
        </w:rPr>
        <w:t>日起至</w:t>
      </w:r>
      <w:r>
        <w:rPr>
          <w:rFonts w:ascii="仿宋" w:hAnsi="仿宋" w:eastAsia="仿宋" w:cs="仿宋_GB2312"/>
          <w:color w:val="000000" w:themeColor="text1"/>
          <w:kern w:val="0"/>
          <w:sz w:val="30"/>
          <w:szCs w:val="30"/>
          <w14:textFill>
            <w14:solidFill>
              <w14:schemeClr w14:val="tx1"/>
            </w14:solidFill>
          </w14:textFill>
        </w:rPr>
        <w:t>202</w:t>
      </w:r>
      <w:r>
        <w:rPr>
          <w:rFonts w:hint="eastAsia" w:ascii="仿宋" w:hAnsi="仿宋" w:eastAsia="仿宋" w:cs="仿宋_GB2312"/>
          <w:color w:val="000000" w:themeColor="text1"/>
          <w:kern w:val="0"/>
          <w:sz w:val="30"/>
          <w:szCs w:val="30"/>
          <w:lang w:val="en-US" w:eastAsia="zh-CN"/>
          <w14:textFill>
            <w14:solidFill>
              <w14:schemeClr w14:val="tx1"/>
            </w14:solidFill>
          </w14:textFill>
        </w:rPr>
        <w:t>3</w:t>
      </w:r>
      <w:r>
        <w:rPr>
          <w:rFonts w:hint="eastAsia" w:ascii="仿宋" w:hAnsi="仿宋" w:eastAsia="仿宋" w:cs="仿宋_GB2312"/>
          <w:color w:val="000000" w:themeColor="text1"/>
          <w:kern w:val="0"/>
          <w:sz w:val="30"/>
          <w:szCs w:val="30"/>
          <w14:textFill>
            <w14:solidFill>
              <w14:schemeClr w14:val="tx1"/>
            </w14:solidFill>
          </w14:textFill>
        </w:rPr>
        <w:t>年</w:t>
      </w:r>
      <w:r>
        <w:rPr>
          <w:rFonts w:hint="eastAsia" w:ascii="仿宋" w:hAnsi="仿宋" w:eastAsia="仿宋" w:cs="仿宋_GB2312"/>
          <w:color w:val="000000" w:themeColor="text1"/>
          <w:kern w:val="0"/>
          <w:sz w:val="30"/>
          <w:szCs w:val="30"/>
          <w:lang w:val="en-US" w:eastAsia="zh-CN"/>
          <w14:textFill>
            <w14:solidFill>
              <w14:schemeClr w14:val="tx1"/>
            </w14:solidFill>
          </w14:textFill>
        </w:rPr>
        <w:t>5</w:t>
      </w:r>
      <w:r>
        <w:rPr>
          <w:rFonts w:ascii="仿宋" w:hAnsi="仿宋" w:eastAsia="仿宋" w:cs="仿宋_GB2312"/>
          <w:color w:val="000000" w:themeColor="text1"/>
          <w:kern w:val="0"/>
          <w:sz w:val="30"/>
          <w:szCs w:val="30"/>
          <w14:textFill>
            <w14:solidFill>
              <w14:schemeClr w14:val="tx1"/>
            </w14:solidFill>
          </w14:textFill>
        </w:rPr>
        <w:t>月</w:t>
      </w:r>
      <w:r>
        <w:rPr>
          <w:rFonts w:hint="eastAsia" w:ascii="仿宋" w:hAnsi="仿宋" w:eastAsia="仿宋" w:cs="仿宋_GB2312"/>
          <w:color w:val="000000" w:themeColor="text1"/>
          <w:kern w:val="0"/>
          <w:sz w:val="30"/>
          <w:szCs w:val="30"/>
          <w:lang w:val="en-US" w:eastAsia="zh-CN"/>
          <w14:textFill>
            <w14:solidFill>
              <w14:schemeClr w14:val="tx1"/>
            </w14:solidFill>
          </w14:textFill>
        </w:rPr>
        <w:t>15</w:t>
      </w:r>
      <w:r>
        <w:rPr>
          <w:rFonts w:ascii="仿宋" w:hAnsi="仿宋" w:eastAsia="仿宋" w:cs="仿宋_GB2312"/>
          <w:color w:val="000000" w:themeColor="text1"/>
          <w:kern w:val="0"/>
          <w:sz w:val="30"/>
          <w:szCs w:val="30"/>
          <w14:textFill>
            <w14:solidFill>
              <w14:schemeClr w14:val="tx1"/>
            </w14:solidFill>
          </w14:textFill>
        </w:rPr>
        <w:t>日止</w:t>
      </w:r>
      <w:r>
        <w:rPr>
          <w:rFonts w:hint="eastAsia" w:ascii="仿宋" w:hAnsi="仿宋" w:eastAsia="仿宋" w:cs="仿宋_GB2312"/>
          <w:color w:val="000000" w:themeColor="text1"/>
          <w:kern w:val="0"/>
          <w:sz w:val="30"/>
          <w:szCs w:val="30"/>
          <w14:textFill>
            <w14:solidFill>
              <w14:schemeClr w14:val="tx1"/>
            </w14:solidFill>
          </w14:textFill>
        </w:rPr>
        <w:t>。逾期未报名，不予受理。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（二）招标公告发布方式：</w:t>
      </w:r>
      <w:r>
        <w:rPr>
          <w:rFonts w:hint="eastAsia" w:ascii="仿宋" w:hAnsi="仿宋" w:eastAsia="仿宋" w:cs="仿宋_GB2312"/>
          <w:color w:val="000000" w:themeColor="text1"/>
          <w:kern w:val="0"/>
          <w:sz w:val="30"/>
          <w:szCs w:val="30"/>
          <w14:textFill>
            <w14:solidFill>
              <w14:schemeClr w14:val="tx1"/>
            </w14:solidFill>
          </w14:textFill>
        </w:rPr>
        <w:t>本次招标公告将在许昌市投资集团有限公司网站（http://www.xcstzzgs.cn/）、许昌日报上发布。</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（三）招标文件获取：</w:t>
      </w:r>
      <w:r>
        <w:rPr>
          <w:rFonts w:hint="eastAsia" w:ascii="仿宋" w:hAnsi="仿宋" w:eastAsia="仿宋" w:cs="仿宋_GB2312"/>
          <w:color w:val="000000" w:themeColor="text1"/>
          <w:kern w:val="0"/>
          <w:sz w:val="30"/>
          <w:szCs w:val="30"/>
          <w14:textFill>
            <w14:solidFill>
              <w14:schemeClr w14:val="tx1"/>
            </w14:solidFill>
          </w14:textFill>
        </w:rPr>
        <w:t>招标文件请到许昌市投资集团有限公司网站（http://www.xcstzzgs.cn/）下载。</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（四）资料提交截止日期：</w:t>
      </w:r>
      <w:r>
        <w:rPr>
          <w:rFonts w:ascii="仿宋" w:hAnsi="仿宋" w:eastAsia="仿宋" w:cs="仿宋_GB2312"/>
          <w:color w:val="000000" w:themeColor="text1"/>
          <w:kern w:val="0"/>
          <w:sz w:val="30"/>
          <w:szCs w:val="30"/>
          <w14:textFill>
            <w14:solidFill>
              <w14:schemeClr w14:val="tx1"/>
            </w14:solidFill>
          </w14:textFill>
        </w:rPr>
        <w:t>202</w:t>
      </w:r>
      <w:r>
        <w:rPr>
          <w:rFonts w:hint="eastAsia" w:ascii="仿宋" w:hAnsi="仿宋" w:eastAsia="仿宋" w:cs="仿宋_GB2312"/>
          <w:color w:val="000000" w:themeColor="text1"/>
          <w:kern w:val="0"/>
          <w:sz w:val="30"/>
          <w:szCs w:val="30"/>
          <w:lang w:val="en-US" w:eastAsia="zh-CN"/>
          <w14:textFill>
            <w14:solidFill>
              <w14:schemeClr w14:val="tx1"/>
            </w14:solidFill>
          </w14:textFill>
        </w:rPr>
        <w:t>3</w:t>
      </w:r>
      <w:r>
        <w:rPr>
          <w:rFonts w:hint="eastAsia" w:ascii="仿宋" w:hAnsi="仿宋" w:eastAsia="仿宋" w:cs="仿宋_GB2312"/>
          <w:color w:val="000000" w:themeColor="text1"/>
          <w:kern w:val="0"/>
          <w:sz w:val="30"/>
          <w:szCs w:val="30"/>
          <w14:textFill>
            <w14:solidFill>
              <w14:schemeClr w14:val="tx1"/>
            </w14:solidFill>
          </w14:textFill>
        </w:rPr>
        <w:t>年</w:t>
      </w:r>
      <w:r>
        <w:rPr>
          <w:rFonts w:hint="eastAsia" w:ascii="仿宋" w:hAnsi="仿宋" w:eastAsia="仿宋" w:cs="仿宋_GB2312"/>
          <w:color w:val="000000" w:themeColor="text1"/>
          <w:kern w:val="0"/>
          <w:sz w:val="30"/>
          <w:szCs w:val="30"/>
          <w:lang w:val="en-US" w:eastAsia="zh-CN"/>
          <w14:textFill>
            <w14:solidFill>
              <w14:schemeClr w14:val="tx1"/>
            </w14:solidFill>
          </w14:textFill>
        </w:rPr>
        <w:t>5</w:t>
      </w:r>
      <w:r>
        <w:rPr>
          <w:rFonts w:ascii="仿宋" w:hAnsi="仿宋" w:eastAsia="仿宋" w:cs="仿宋_GB2312"/>
          <w:color w:val="000000" w:themeColor="text1"/>
          <w:kern w:val="0"/>
          <w:sz w:val="30"/>
          <w:szCs w:val="30"/>
          <w14:textFill>
            <w14:solidFill>
              <w14:schemeClr w14:val="tx1"/>
            </w14:solidFill>
          </w14:textFill>
        </w:rPr>
        <w:t>月</w:t>
      </w:r>
      <w:r>
        <w:rPr>
          <w:rFonts w:hint="eastAsia" w:ascii="仿宋" w:hAnsi="仿宋" w:eastAsia="仿宋" w:cs="仿宋_GB2312"/>
          <w:color w:val="000000" w:themeColor="text1"/>
          <w:kern w:val="0"/>
          <w:sz w:val="30"/>
          <w:szCs w:val="30"/>
          <w:lang w:val="en-US" w:eastAsia="zh-CN"/>
          <w14:textFill>
            <w14:solidFill>
              <w14:schemeClr w14:val="tx1"/>
            </w14:solidFill>
          </w14:textFill>
        </w:rPr>
        <w:t>15</w:t>
      </w:r>
      <w:r>
        <w:rPr>
          <w:rFonts w:ascii="仿宋" w:hAnsi="仿宋" w:eastAsia="仿宋" w:cs="仿宋_GB2312"/>
          <w:color w:val="000000" w:themeColor="text1"/>
          <w:kern w:val="0"/>
          <w:sz w:val="30"/>
          <w:szCs w:val="30"/>
          <w14:textFill>
            <w14:solidFill>
              <w14:schemeClr w14:val="tx1"/>
            </w14:solidFill>
          </w14:textFill>
        </w:rPr>
        <w:t>日</w:t>
      </w:r>
      <w:r>
        <w:rPr>
          <w:rFonts w:hint="eastAsia" w:ascii="仿宋" w:hAnsi="仿宋" w:eastAsia="仿宋" w:cs="仿宋_GB2312"/>
          <w:color w:val="000000" w:themeColor="text1"/>
          <w:kern w:val="0"/>
          <w:sz w:val="30"/>
          <w:szCs w:val="30"/>
          <w:lang w:val="en-US" w:eastAsia="zh-CN"/>
          <w14:textFill>
            <w14:solidFill>
              <w14:schemeClr w14:val="tx1"/>
            </w14:solidFill>
          </w14:textFill>
        </w:rPr>
        <w:t>16</w:t>
      </w:r>
      <w:r>
        <w:rPr>
          <w:rFonts w:ascii="仿宋" w:hAnsi="仿宋" w:eastAsia="仿宋" w:cs="仿宋_GB2312"/>
          <w:color w:val="000000" w:themeColor="text1"/>
          <w:kern w:val="0"/>
          <w:sz w:val="30"/>
          <w:szCs w:val="30"/>
          <w14:textFill>
            <w14:solidFill>
              <w14:schemeClr w14:val="tx1"/>
            </w14:solidFill>
          </w14:textFill>
        </w:rPr>
        <w:t>时</w:t>
      </w:r>
      <w:r>
        <w:rPr>
          <w:rFonts w:hint="eastAsia" w:ascii="仿宋" w:hAnsi="仿宋" w:eastAsia="仿宋" w:cs="仿宋_GB2312"/>
          <w:color w:val="000000" w:themeColor="text1"/>
          <w:kern w:val="0"/>
          <w:sz w:val="30"/>
          <w:szCs w:val="30"/>
          <w14:textFill>
            <w14:solidFill>
              <w14:schemeClr w14:val="tx1"/>
            </w14:solidFill>
          </w14:textFill>
        </w:rPr>
        <w:t>，采用邮寄方式的以收到时间为准。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（五）资料提交地点：</w:t>
      </w:r>
      <w:r>
        <w:rPr>
          <w:rFonts w:hint="eastAsia" w:ascii="仿宋" w:hAnsi="仿宋" w:eastAsia="仿宋" w:cs="仿宋_GB2312"/>
          <w:color w:val="000000" w:themeColor="text1"/>
          <w:kern w:val="0"/>
          <w:sz w:val="30"/>
          <w:szCs w:val="30"/>
          <w14:textFill>
            <w14:solidFill>
              <w14:schemeClr w14:val="tx1"/>
            </w14:solidFill>
          </w14:textFill>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（六）资料提交方式</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1、现场递交。</w:t>
      </w:r>
      <w:r>
        <w:rPr>
          <w:rFonts w:hint="eastAsia" w:ascii="仿宋" w:hAnsi="仿宋" w:eastAsia="仿宋" w:cs="仿宋_GB2312"/>
          <w:color w:val="000000" w:themeColor="text1"/>
          <w:kern w:val="0"/>
          <w:sz w:val="30"/>
          <w:szCs w:val="30"/>
          <w14:textFill>
            <w14:solidFill>
              <w14:schemeClr w14:val="tx1"/>
            </w14:solidFill>
          </w14:textFill>
        </w:rPr>
        <w:t>递交</w:t>
      </w:r>
      <w:r>
        <w:rPr>
          <w:rFonts w:hint="eastAsia" w:ascii="仿宋" w:hAnsi="仿宋" w:eastAsia="仿宋" w:cs="仿宋_GB2312"/>
          <w:color w:val="000000" w:themeColor="text1"/>
          <w:kern w:val="0"/>
          <w:sz w:val="30"/>
          <w:szCs w:val="30"/>
          <w:lang w:val="en-US" w:eastAsia="zh-CN"/>
          <w14:textFill>
            <w14:solidFill>
              <w14:schemeClr w14:val="tx1"/>
            </w14:solidFill>
          </w14:textFill>
        </w:rPr>
        <w:t>联合体牵头人</w:t>
      </w:r>
      <w:r>
        <w:rPr>
          <w:rFonts w:hint="eastAsia" w:ascii="仿宋" w:hAnsi="仿宋" w:eastAsia="仿宋" w:cs="仿宋_GB2312"/>
          <w:color w:val="000000" w:themeColor="text1"/>
          <w:kern w:val="0"/>
          <w:sz w:val="30"/>
          <w:szCs w:val="30"/>
          <w14:textFill>
            <w14:solidFill>
              <w14:schemeClr w14:val="tx1"/>
            </w14:solidFill>
          </w14:textFill>
        </w:rPr>
        <w:t>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2、邮寄方式。</w:t>
      </w:r>
      <w:r>
        <w:rPr>
          <w:rFonts w:hint="eastAsia" w:ascii="仿宋" w:hAnsi="仿宋" w:eastAsia="仿宋" w:cs="仿宋_GB2312"/>
          <w:color w:val="000000" w:themeColor="text1"/>
          <w:kern w:val="0"/>
          <w:sz w:val="30"/>
          <w:szCs w:val="30"/>
          <w14:textFill>
            <w14:solidFill>
              <w14:schemeClr w14:val="tx1"/>
            </w14:solidFill>
          </w14:textFill>
        </w:rPr>
        <w:t>递交资料内含</w:t>
      </w:r>
      <w:r>
        <w:rPr>
          <w:rFonts w:hint="eastAsia" w:ascii="仿宋" w:hAnsi="仿宋" w:eastAsia="仿宋" w:cs="仿宋_GB2312"/>
          <w:color w:val="000000" w:themeColor="text1"/>
          <w:kern w:val="0"/>
          <w:sz w:val="30"/>
          <w:szCs w:val="30"/>
          <w:lang w:val="en-US" w:eastAsia="zh-CN"/>
          <w14:textFill>
            <w14:solidFill>
              <w14:schemeClr w14:val="tx1"/>
            </w14:solidFill>
          </w14:textFill>
        </w:rPr>
        <w:t>联合体牵头人</w:t>
      </w:r>
      <w:r>
        <w:rPr>
          <w:rFonts w:hint="eastAsia" w:ascii="仿宋" w:hAnsi="仿宋" w:eastAsia="仿宋" w:cs="仿宋_GB2312"/>
          <w:color w:val="000000" w:themeColor="text1"/>
          <w:kern w:val="0"/>
          <w:sz w:val="30"/>
          <w:szCs w:val="30"/>
          <w14:textFill>
            <w14:solidFill>
              <w14:schemeClr w14:val="tx1"/>
            </w14:solidFill>
          </w14:textFill>
        </w:rPr>
        <w:t>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 3、联系人：</w:t>
      </w:r>
      <w:r>
        <w:rPr>
          <w:rFonts w:hint="eastAsia" w:ascii="仿宋" w:hAnsi="仿宋" w:eastAsia="仿宋" w:cs="仿宋_GB2312"/>
          <w:color w:val="000000" w:themeColor="text1"/>
          <w:kern w:val="0"/>
          <w:sz w:val="30"/>
          <w:szCs w:val="30"/>
          <w14:textFill>
            <w14:solidFill>
              <w14:schemeClr w14:val="tx1"/>
            </w14:solidFill>
          </w14:textFill>
        </w:rPr>
        <w:t xml:space="preserve">范女士   </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电话</w:t>
      </w:r>
      <w:r>
        <w:rPr>
          <w:rFonts w:hint="eastAsia" w:ascii="仿宋" w:hAnsi="仿宋" w:eastAsia="仿宋" w:cs="仿宋_GB2312"/>
          <w:color w:val="000000" w:themeColor="text1"/>
          <w:kern w:val="0"/>
          <w:sz w:val="30"/>
          <w:szCs w:val="30"/>
          <w14:textFill>
            <w14:solidFill>
              <w14:schemeClr w14:val="tx1"/>
            </w14:solidFill>
          </w14:textFill>
        </w:rPr>
        <w:t>: 0374-267</w:t>
      </w:r>
      <w:r>
        <w:rPr>
          <w:rFonts w:hint="eastAsia" w:ascii="仿宋" w:hAnsi="仿宋" w:eastAsia="仿宋" w:cs="仿宋_GB2312"/>
          <w:color w:val="000000" w:themeColor="text1"/>
          <w:kern w:val="0"/>
          <w:sz w:val="30"/>
          <w:szCs w:val="30"/>
          <w:lang w:val="en-US" w:eastAsia="zh-CN"/>
          <w14:textFill>
            <w14:solidFill>
              <w14:schemeClr w14:val="tx1"/>
            </w14:solidFill>
          </w14:textFill>
        </w:rPr>
        <w:t>6560</w:t>
      </w:r>
    </w:p>
    <w:p>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传真</w:t>
      </w:r>
      <w:r>
        <w:rPr>
          <w:rFonts w:hint="eastAsia" w:ascii="仿宋" w:hAnsi="仿宋" w:eastAsia="仿宋" w:cs="仿宋_GB2312"/>
          <w:color w:val="000000" w:themeColor="text1"/>
          <w:kern w:val="0"/>
          <w:sz w:val="30"/>
          <w:szCs w:val="30"/>
          <w14:textFill>
            <w14:solidFill>
              <w14:schemeClr w14:val="tx1"/>
            </w14:solidFill>
          </w14:textFill>
        </w:rPr>
        <w:t>：0374-2676539</w:t>
      </w:r>
    </w:p>
    <w:p>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许昌市投资集团有限公司</w:t>
      </w:r>
    </w:p>
    <w:p>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ascii="仿宋" w:hAnsi="仿宋" w:eastAsia="仿宋" w:cs="仿宋_GB2312"/>
          <w:color w:val="000000" w:themeColor="text1"/>
          <w:kern w:val="0"/>
          <w:sz w:val="30"/>
          <w:szCs w:val="30"/>
          <w14:textFill>
            <w14:solidFill>
              <w14:schemeClr w14:val="tx1"/>
            </w14:solidFill>
          </w14:textFill>
        </w:rPr>
        <w:t>202</w:t>
      </w:r>
      <w:r>
        <w:rPr>
          <w:rFonts w:hint="eastAsia" w:ascii="仿宋" w:hAnsi="仿宋" w:eastAsia="仿宋" w:cs="仿宋_GB2312"/>
          <w:color w:val="000000" w:themeColor="text1"/>
          <w:kern w:val="0"/>
          <w:sz w:val="30"/>
          <w:szCs w:val="30"/>
          <w:lang w:val="en-US" w:eastAsia="zh-CN"/>
          <w14:textFill>
            <w14:solidFill>
              <w14:schemeClr w14:val="tx1"/>
            </w14:solidFill>
          </w14:textFill>
        </w:rPr>
        <w:t>3</w:t>
      </w:r>
      <w:r>
        <w:rPr>
          <w:rFonts w:ascii="仿宋" w:hAnsi="仿宋" w:eastAsia="仿宋" w:cs="仿宋_GB2312"/>
          <w:color w:val="000000" w:themeColor="text1"/>
          <w:kern w:val="0"/>
          <w:sz w:val="30"/>
          <w:szCs w:val="30"/>
          <w14:textFill>
            <w14:solidFill>
              <w14:schemeClr w14:val="tx1"/>
            </w14:solidFill>
          </w14:textFill>
        </w:rPr>
        <w:t xml:space="preserve"> 年</w:t>
      </w:r>
      <w:r>
        <w:rPr>
          <w:rFonts w:hint="eastAsia" w:ascii="仿宋" w:hAnsi="仿宋" w:eastAsia="仿宋" w:cs="仿宋_GB2312"/>
          <w:color w:val="000000" w:themeColor="text1"/>
          <w:kern w:val="0"/>
          <w:sz w:val="30"/>
          <w:szCs w:val="30"/>
          <w:lang w:val="en-US" w:eastAsia="zh-CN"/>
          <w14:textFill>
            <w14:solidFill>
              <w14:schemeClr w14:val="tx1"/>
            </w14:solidFill>
          </w14:textFill>
        </w:rPr>
        <w:t>5</w:t>
      </w:r>
      <w:r>
        <w:rPr>
          <w:rFonts w:ascii="仿宋" w:hAnsi="仿宋" w:eastAsia="仿宋" w:cs="仿宋_GB2312"/>
          <w:color w:val="000000" w:themeColor="text1"/>
          <w:kern w:val="0"/>
          <w:sz w:val="30"/>
          <w:szCs w:val="30"/>
          <w14:textFill>
            <w14:solidFill>
              <w14:schemeClr w14:val="tx1"/>
            </w14:solidFill>
          </w14:textFill>
        </w:rPr>
        <w:t>月</w:t>
      </w:r>
      <w:r>
        <w:rPr>
          <w:rFonts w:hint="eastAsia" w:ascii="仿宋" w:hAnsi="仿宋" w:eastAsia="仿宋" w:cs="仿宋_GB2312"/>
          <w:color w:val="000000" w:themeColor="text1"/>
          <w:kern w:val="0"/>
          <w:sz w:val="30"/>
          <w:szCs w:val="30"/>
          <w:lang w:val="en-US" w:eastAsia="zh-CN"/>
          <w14:textFill>
            <w14:solidFill>
              <w14:schemeClr w14:val="tx1"/>
            </w14:solidFill>
          </w14:textFill>
        </w:rPr>
        <w:t>9</w:t>
      </w:r>
      <w:r>
        <w:rPr>
          <w:rFonts w:hint="eastAsia" w:ascii="仿宋" w:hAnsi="仿宋" w:eastAsia="仿宋" w:cs="仿宋_GB2312"/>
          <w:color w:val="000000" w:themeColor="text1"/>
          <w:kern w:val="0"/>
          <w:sz w:val="30"/>
          <w:szCs w:val="30"/>
          <w14:textFill>
            <w14:solidFill>
              <w14:schemeClr w14:val="tx1"/>
            </w14:solidFill>
          </w14:textFill>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(一)招标人基本情况</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许昌市投资集团有限公司2022年度资本市场债券发行工作已由相关部门批准实施，具备招标条件，</w:t>
      </w:r>
      <w:r>
        <w:rPr>
          <w:rFonts w:hint="eastAsia" w:ascii="仿宋" w:hAnsi="仿宋" w:eastAsia="仿宋" w:cs="仿宋_GB2312"/>
          <w:color w:val="16181D"/>
          <w:kern w:val="0"/>
          <w:sz w:val="30"/>
          <w:szCs w:val="30"/>
        </w:rPr>
        <w:t>计划发行供应链ABS</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为确保发行工作的顺利进行，现通过公开招标方式选取主承销商（联合体）负责该项工作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具体工作内容如下：完成招标人供应链ABS发行主承销服务及产品存续过程中的全部工作内容。包括但不限于：发行方案编制、报批、市场询价、发行承销、登记挂牌、兑付兑息及其他存续期内的相关事宜。</w:t>
      </w:r>
    </w:p>
    <w:p>
      <w:pPr>
        <w:autoSpaceDE w:val="0"/>
        <w:autoSpaceDN w:val="0"/>
        <w:adjustRightInd w:val="0"/>
        <w:spacing w:line="600" w:lineRule="exact"/>
        <w:ind w:firstLine="602" w:firstLineChars="200"/>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autoSpaceDE w:val="0"/>
        <w:autoSpaceDN w:val="0"/>
        <w:adjustRightInd w:val="0"/>
        <w:spacing w:line="600" w:lineRule="exact"/>
        <w:ind w:firstLine="600"/>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pPr>
        <w:pStyle w:val="45"/>
        <w:autoSpaceDE w:val="0"/>
        <w:autoSpaceDN w:val="0"/>
        <w:adjustRightInd w:val="0"/>
        <w:spacing w:line="600" w:lineRule="exact"/>
        <w:ind w:firstLine="600"/>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autoSpaceDE w:val="0"/>
        <w:autoSpaceDN w:val="0"/>
        <w:adjustRightInd w:val="0"/>
        <w:spacing w:line="600" w:lineRule="exact"/>
        <w:ind w:firstLine="600"/>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pPr>
        <w:pStyle w:val="45"/>
        <w:autoSpaceDE w:val="0"/>
        <w:autoSpaceDN w:val="0"/>
        <w:adjustRightInd w:val="0"/>
        <w:spacing w:line="600" w:lineRule="exact"/>
        <w:ind w:firstLine="600"/>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pPr>
        <w:pStyle w:val="45"/>
        <w:autoSpaceDE w:val="0"/>
        <w:autoSpaceDN w:val="0"/>
        <w:adjustRightInd w:val="0"/>
        <w:spacing w:line="600" w:lineRule="exact"/>
        <w:ind w:firstLine="600"/>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(一)招标人设置的本招标项目年化打包中介机构费率（含券商承销费、保理服务费）最高限价为</w:t>
      </w:r>
      <w:r>
        <w:rPr>
          <w:rFonts w:hint="eastAsia" w:ascii="仿宋" w:hAnsi="仿宋" w:eastAsia="仿宋" w:cs="仿宋_GB2312"/>
          <w:color w:val="000000" w:themeColor="text1"/>
          <w:kern w:val="0"/>
          <w:sz w:val="30"/>
          <w:szCs w:val="30"/>
          <w14:textFill>
            <w14:solidFill>
              <w14:schemeClr w14:val="tx1"/>
            </w14:solidFill>
          </w14:textFill>
        </w:rPr>
        <w:t>0.</w:t>
      </w:r>
      <w:r>
        <w:rPr>
          <w:rFonts w:hint="eastAsia" w:ascii="仿宋" w:hAnsi="仿宋" w:eastAsia="仿宋" w:cs="仿宋_GB2312"/>
          <w:color w:val="000000" w:themeColor="text1"/>
          <w:kern w:val="0"/>
          <w:sz w:val="30"/>
          <w:szCs w:val="30"/>
          <w:lang w:val="en-US" w:eastAsia="zh-CN"/>
          <w14:textFill>
            <w14:solidFill>
              <w14:schemeClr w14:val="tx1"/>
            </w14:solidFill>
          </w14:textFill>
        </w:rPr>
        <w:t>28</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投标申请人所报价格不得超过该限价，否则视同无效。</w:t>
      </w:r>
    </w:p>
    <w:p>
      <w:pPr>
        <w:autoSpaceDE w:val="0"/>
        <w:autoSpaceDN w:val="0"/>
        <w:adjustRightInd w:val="0"/>
        <w:spacing w:line="600" w:lineRule="exact"/>
        <w:ind w:firstLine="600" w:firstLineChars="200"/>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(三)投标申请人所报价格为承销费用中的固定部分，应包括完成本招标项目约定的服务工作所发生的直接费用、其它费用以及管理费、利润、风险费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autoSpaceDE w:val="0"/>
        <w:autoSpaceDN w:val="0"/>
        <w:adjustRightInd w:val="0"/>
        <w:spacing w:line="600" w:lineRule="exact"/>
        <w:ind w:firstLine="602" w:firstLineChars="200"/>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pPr>
        <w:autoSpaceDE w:val="0"/>
        <w:autoSpaceDN w:val="0"/>
        <w:adjustRightInd w:val="0"/>
        <w:spacing w:line="600" w:lineRule="exact"/>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（三）如投标人中标后，非因招标人原因未按招标人要求时间内获取注册批文或未按招标人规定时间内完成资金募集，招标人有权单方面解除承销协议，招标人不承担任何责任。</w:t>
      </w:r>
    </w:p>
    <w:p>
      <w:pPr>
        <w:pStyle w:val="2"/>
        <w:rPr>
          <w:rFonts w:ascii="仿宋" w:hAnsi="仿宋" w:eastAsia="仿宋" w:cs="仿宋_GB2312"/>
          <w:color w:val="15171C"/>
          <w:kern w:val="0"/>
          <w:sz w:val="30"/>
          <w:szCs w:val="30"/>
        </w:rPr>
        <w:sectPr>
          <w:footerReference r:id="rId3" w:type="default"/>
          <w:pgSz w:w="11906" w:h="16838"/>
          <w:pgMar w:top="1440" w:right="1800" w:bottom="1440" w:left="1800" w:header="851" w:footer="992" w:gutter="0"/>
          <w:cols w:space="720" w:num="1"/>
          <w:docGrid w:type="lines" w:linePitch="312" w:charSpace="0"/>
        </w:sect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(如果评分相同，以报价低的为准，报价相同的以近2年ABS产品发行业绩规模多的为准。)</w:t>
      </w:r>
    </w:p>
    <w:p>
      <w:pPr>
        <w:autoSpaceDE w:val="0"/>
        <w:autoSpaceDN w:val="0"/>
        <w:adjustRightInd w:val="0"/>
        <w:spacing w:line="600" w:lineRule="exact"/>
        <w:ind w:firstLine="600" w:firstLineChars="200"/>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三、招标文件审查</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3.投标申请文件附有招标人不能接受的条件;</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其中，各考核项目的权重及分值设置见详细评审表。经评审综合得分相等的，以报价低者中选，如仍然相同，再依据招标申请人近2年内ABS产品发行业绩规模多的中选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spacing w:line="360" w:lineRule="auto"/>
        <w:ind w:firstLine="420" w:firstLineChars="200"/>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46"/>
        <w:pageBreakBefore/>
        <w:spacing w:line="360" w:lineRule="auto"/>
        <w:ind w:right="-210" w:rightChars="-100"/>
        <w:jc w:val="center"/>
        <w:rPr>
          <w:b/>
          <w:bCs/>
        </w:rPr>
      </w:pPr>
      <w:r>
        <w:rPr>
          <w:rFonts w:hint="eastAsia"/>
          <w:b/>
          <w:bCs/>
        </w:rPr>
        <w:t>详细评审表</w:t>
      </w:r>
    </w:p>
    <w:p>
      <w:r>
        <w:rPr>
          <w:rFonts w:hint="eastAsia"/>
        </w:rPr>
        <w:t>本次项目采用券商和保理公司联合体投标的方式，评分标准分为价格因素（10分）、保理公司（</w:t>
      </w:r>
      <w:r>
        <w:t>45</w:t>
      </w:r>
      <w:r>
        <w:rPr>
          <w:rFonts w:hint="eastAsia"/>
        </w:rPr>
        <w:t>分）、券商（</w:t>
      </w:r>
      <w:r>
        <w:t>45</w:t>
      </w:r>
      <w:r>
        <w:rPr>
          <w:rFonts w:hint="eastAsia"/>
        </w:rPr>
        <w:t>分）三项，最终总得分为三项加总。</w:t>
      </w:r>
    </w:p>
    <w:tbl>
      <w:tblPr>
        <w:tblStyle w:val="1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1212"/>
        <w:gridCol w:w="5954"/>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155" w:type="dxa"/>
            <w:gridSpan w:val="2"/>
            <w:tcBorders>
              <w:tl2br w:val="nil"/>
              <w:tr2bl w:val="nil"/>
            </w:tcBorders>
            <w:vAlign w:val="center"/>
          </w:tcPr>
          <w:p>
            <w:pPr>
              <w:widowControl/>
              <w:jc w:val="center"/>
              <w:rPr>
                <w:b/>
                <w:bCs/>
              </w:rPr>
            </w:pPr>
            <w:r>
              <w:rPr>
                <w:b/>
                <w:bCs/>
              </w:rPr>
              <w:t>分值构成</w:t>
            </w:r>
          </w:p>
          <w:p>
            <w:pPr>
              <w:widowControl/>
              <w:jc w:val="center"/>
              <w:rPr>
                <w:b/>
                <w:bCs/>
              </w:rPr>
            </w:pPr>
            <w:r>
              <w:rPr>
                <w:b/>
                <w:bCs/>
              </w:rPr>
              <w:t>（总分100分）</w:t>
            </w:r>
          </w:p>
        </w:tc>
        <w:tc>
          <w:tcPr>
            <w:tcW w:w="6775" w:type="dxa"/>
            <w:gridSpan w:val="2"/>
            <w:tcBorders>
              <w:tl2br w:val="nil"/>
              <w:tr2bl w:val="nil"/>
            </w:tcBorders>
            <w:vAlign w:val="center"/>
          </w:tcPr>
          <w:p>
            <w:pPr>
              <w:widowControl/>
              <w:jc w:val="center"/>
              <w:rPr>
                <w:b/>
                <w:bCs/>
              </w:rPr>
            </w:pPr>
            <w:r>
              <w:rPr>
                <w:b/>
                <w:bCs/>
              </w:rPr>
              <w:t>价格</w:t>
            </w:r>
            <w:r>
              <w:rPr>
                <w:rFonts w:hint="eastAsia"/>
                <w:b/>
                <w:bCs/>
              </w:rPr>
              <w:t>因素</w:t>
            </w:r>
            <w:r>
              <w:rPr>
                <w:b/>
                <w:bCs/>
              </w:rPr>
              <w:t>：</w:t>
            </w:r>
            <w:r>
              <w:rPr>
                <w:rFonts w:hint="eastAsia"/>
                <w:b/>
                <w:bCs/>
              </w:rPr>
              <w:t>10</w:t>
            </w:r>
            <w:r>
              <w:rPr>
                <w:b/>
                <w:bCs/>
              </w:rPr>
              <w:t>分</w:t>
            </w:r>
          </w:p>
          <w:p>
            <w:pPr>
              <w:widowControl/>
              <w:jc w:val="center"/>
              <w:rPr>
                <w:b/>
                <w:bCs/>
              </w:rPr>
            </w:pPr>
            <w:r>
              <w:rPr>
                <w:rFonts w:hint="eastAsia"/>
                <w:b/>
                <w:bCs/>
              </w:rPr>
              <w:t>保理公司</w:t>
            </w:r>
            <w:r>
              <w:rPr>
                <w:b/>
                <w:bCs/>
              </w:rPr>
              <w:t>：</w:t>
            </w:r>
            <w:r>
              <w:rPr>
                <w:rFonts w:hint="eastAsia"/>
                <w:b/>
                <w:bCs/>
              </w:rPr>
              <w:t>45</w:t>
            </w:r>
            <w:r>
              <w:rPr>
                <w:b/>
                <w:bCs/>
              </w:rPr>
              <w:t>分</w:t>
            </w:r>
          </w:p>
          <w:p>
            <w:pPr>
              <w:jc w:val="center"/>
              <w:rPr>
                <w:b/>
                <w:bCs/>
              </w:rPr>
            </w:pPr>
            <w:r>
              <w:rPr>
                <w:rFonts w:hint="eastAsia"/>
                <w:b/>
                <w:bCs/>
              </w:rPr>
              <w:t>券商</w:t>
            </w:r>
            <w:r>
              <w:rPr>
                <w:b/>
                <w:bCs/>
              </w:rPr>
              <w:t>：</w:t>
            </w:r>
            <w:r>
              <w:rPr>
                <w:rFonts w:hint="eastAsia"/>
                <w:b/>
                <w:bCs/>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930" w:type="dxa"/>
            <w:gridSpan w:val="4"/>
            <w:tcBorders>
              <w:tl2br w:val="nil"/>
              <w:tr2bl w:val="nil"/>
            </w:tcBorders>
            <w:vAlign w:val="center"/>
          </w:tcPr>
          <w:p>
            <w:pPr>
              <w:widowControl/>
              <w:jc w:val="center"/>
              <w:rPr>
                <w:b/>
                <w:bCs/>
              </w:rPr>
            </w:pPr>
            <w:r>
              <w:rPr>
                <w:b/>
                <w:bCs/>
              </w:rPr>
              <w:t>（1） 价格部分（满分</w:t>
            </w:r>
            <w:r>
              <w:rPr>
                <w:rFonts w:hint="eastAsia"/>
                <w:b/>
                <w:bCs/>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2155" w:type="dxa"/>
            <w:gridSpan w:val="2"/>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821"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2155" w:type="dxa"/>
            <w:gridSpan w:val="2"/>
            <w:tcBorders>
              <w:tl2br w:val="nil"/>
              <w:tr2bl w:val="nil"/>
            </w:tcBorders>
            <w:vAlign w:val="center"/>
          </w:tcPr>
          <w:p>
            <w:pPr>
              <w:widowControl/>
              <w:spacing w:line="360" w:lineRule="atLeast"/>
              <w:jc w:val="center"/>
            </w:pPr>
            <w:r>
              <w:rPr>
                <w:rFonts w:hint="eastAsia"/>
                <w:b/>
                <w:bCs/>
              </w:rPr>
              <w:t>价格部分</w:t>
            </w:r>
          </w:p>
        </w:tc>
        <w:tc>
          <w:tcPr>
            <w:tcW w:w="5954" w:type="dxa"/>
            <w:tcBorders>
              <w:tl2br w:val="nil"/>
              <w:tr2bl w:val="nil"/>
            </w:tcBorders>
            <w:vAlign w:val="center"/>
          </w:tcPr>
          <w:p>
            <w:pPr>
              <w:pStyle w:val="8"/>
              <w:rPr>
                <w:rFonts w:ascii="Times New Roman" w:hAnsi="Times New Roman"/>
                <w:color w:val="000000"/>
                <w:kern w:val="0"/>
                <w:szCs w:val="21"/>
              </w:rPr>
            </w:pPr>
            <w:r>
              <w:rPr>
                <w:rFonts w:hint="eastAsia" w:ascii="宋体" w:hAnsi="宋体" w:cs="宋体"/>
              </w:rPr>
              <w:t>报价控制：本项目打包中介机构费用报价采用年化费率形式，费率报价上限为0.</w:t>
            </w:r>
            <w:r>
              <w:rPr>
                <w:rFonts w:hint="eastAsia" w:ascii="宋体" w:hAnsi="宋体" w:cs="宋体"/>
                <w:lang w:val="en-US" w:eastAsia="zh-CN"/>
              </w:rPr>
              <w:t>28</w:t>
            </w:r>
            <w:r>
              <w:rPr>
                <w:rFonts w:hint="eastAsia" w:ascii="宋体" w:hAnsi="宋体" w:cs="宋体"/>
              </w:rPr>
              <w:t>%/年，超出0.</w:t>
            </w:r>
            <w:r>
              <w:rPr>
                <w:rFonts w:hint="eastAsia" w:ascii="宋体" w:hAnsi="宋体" w:cs="宋体"/>
                <w:lang w:val="en-US" w:eastAsia="zh-CN"/>
              </w:rPr>
              <w:t>28</w:t>
            </w:r>
            <w:r>
              <w:rPr>
                <w:rFonts w:hint="eastAsia" w:ascii="宋体" w:hAnsi="宋体" w:cs="宋体"/>
              </w:rPr>
              <w:t>%/年或0则为废标。当为0.</w:t>
            </w:r>
            <w:r>
              <w:rPr>
                <w:rFonts w:hint="eastAsia" w:ascii="宋体" w:hAnsi="宋体" w:cs="宋体"/>
                <w:lang w:val="en-US" w:eastAsia="zh-CN"/>
              </w:rPr>
              <w:t>28</w:t>
            </w:r>
            <w:r>
              <w:rPr>
                <w:rFonts w:hint="eastAsia" w:ascii="宋体" w:hAnsi="宋体" w:cs="宋体"/>
              </w:rPr>
              <w:t>%/年时，得分为0分；每减少0.01%/年，增加2分，满分为10分。</w:t>
            </w:r>
            <w:bookmarkStart w:id="0" w:name="_GoBack"/>
            <w:bookmarkEnd w:id="0"/>
          </w:p>
        </w:tc>
        <w:tc>
          <w:tcPr>
            <w:tcW w:w="821"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kern w:val="0"/>
                <w:szCs w:val="21"/>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930" w:type="dxa"/>
            <w:gridSpan w:val="4"/>
            <w:tcBorders>
              <w:tl2br w:val="nil"/>
              <w:tr2bl w:val="nil"/>
            </w:tcBorders>
            <w:vAlign w:val="center"/>
          </w:tcPr>
          <w:p>
            <w:pPr>
              <w:widowControl/>
              <w:jc w:val="center"/>
              <w:rPr>
                <w:b/>
                <w:bCs/>
              </w:rPr>
            </w:pPr>
            <w:r>
              <w:rPr>
                <w:b/>
                <w:bCs/>
              </w:rPr>
              <w:t>（2）</w:t>
            </w:r>
            <w:r>
              <w:rPr>
                <w:rFonts w:hint="eastAsia"/>
                <w:b/>
                <w:bCs/>
              </w:rPr>
              <w:t>保理公司</w:t>
            </w:r>
            <w:r>
              <w:rPr>
                <w:b/>
                <w:bCs/>
              </w:rPr>
              <w:t>（满分</w:t>
            </w:r>
            <w:r>
              <w:rPr>
                <w:rFonts w:hint="eastAsia"/>
                <w:b/>
                <w:bCs/>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155" w:type="dxa"/>
            <w:gridSpan w:val="2"/>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821"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943" w:type="dxa"/>
            <w:vMerge w:val="restart"/>
            <w:tcBorders>
              <w:tl2br w:val="nil"/>
              <w:tr2bl w:val="nil"/>
            </w:tcBorders>
            <w:vAlign w:val="center"/>
          </w:tcPr>
          <w:p>
            <w:pPr>
              <w:widowControl/>
              <w:jc w:val="center"/>
              <w:rPr>
                <w:b/>
                <w:bCs/>
              </w:rPr>
            </w:pPr>
            <w:r>
              <w:rPr>
                <w:rFonts w:hint="eastAsia"/>
                <w:b/>
                <w:bCs/>
              </w:rPr>
              <w:t>保理公司</w:t>
            </w:r>
          </w:p>
        </w:tc>
        <w:tc>
          <w:tcPr>
            <w:tcW w:w="1212" w:type="dxa"/>
            <w:tcBorders>
              <w:tl2br w:val="nil"/>
              <w:tr2bl w:val="nil"/>
            </w:tcBorders>
            <w:vAlign w:val="center"/>
          </w:tcPr>
          <w:p>
            <w:pPr>
              <w:widowControl/>
              <w:jc w:val="center"/>
              <w:rPr>
                <w:b/>
                <w:bCs/>
              </w:rPr>
            </w:pPr>
            <w:r>
              <w:rPr>
                <w:rFonts w:hint="eastAsia"/>
                <w:b/>
                <w:bCs/>
              </w:rPr>
              <w:t>城投供应链资产证券化注册经验</w:t>
            </w:r>
          </w:p>
        </w:tc>
        <w:tc>
          <w:tcPr>
            <w:tcW w:w="5954" w:type="dxa"/>
            <w:tcBorders>
              <w:tl2br w:val="nil"/>
              <w:tr2bl w:val="nil"/>
            </w:tcBorders>
            <w:vAlign w:val="center"/>
          </w:tcPr>
          <w:p>
            <w:pPr>
              <w:pStyle w:val="8"/>
              <w:rPr>
                <w:rFonts w:ascii="宋体" w:hAnsi="宋体" w:cs="宋体"/>
              </w:rPr>
            </w:pPr>
            <w:r>
              <w:rPr>
                <w:rFonts w:hint="eastAsia" w:ascii="宋体" w:hAnsi="宋体" w:cs="宋体"/>
              </w:rPr>
              <w:t>在20</w:t>
            </w:r>
            <w:r>
              <w:rPr>
                <w:rFonts w:ascii="宋体" w:hAnsi="宋体" w:cs="宋体"/>
              </w:rPr>
              <w:t>19</w:t>
            </w:r>
            <w:r>
              <w:rPr>
                <w:rFonts w:hint="eastAsia" w:ascii="宋体" w:hAnsi="宋体" w:cs="宋体"/>
              </w:rPr>
              <w:t>年1月1日至202</w:t>
            </w:r>
            <w:r>
              <w:rPr>
                <w:rFonts w:ascii="宋体" w:hAnsi="宋体" w:cs="宋体"/>
              </w:rPr>
              <w:t>2</w:t>
            </w:r>
            <w:r>
              <w:rPr>
                <w:rFonts w:hint="eastAsia" w:ascii="宋体" w:hAnsi="宋体" w:cs="宋体"/>
              </w:rPr>
              <w:t>年12月31日之间，城投作为核心企业的供应链资产证券化批复通过的储架规模（非特定核心企业储架项目不纳入考核），超过1000（含）亿元得15分，600（含）-1000（不含）亿元得8分，300（含）-600（不含）亿元得2分，300（不含）亿元以下不得分。</w:t>
            </w:r>
          </w:p>
          <w:p>
            <w:pPr>
              <w:pStyle w:val="8"/>
              <w:rPr>
                <w:rFonts w:ascii="宋体" w:hAnsi="宋体" w:cs="宋体"/>
              </w:rPr>
            </w:pPr>
            <w:r>
              <w:rPr>
                <w:rFonts w:hint="eastAsia" w:ascii="宋体" w:hAnsi="宋体" w:cs="宋体"/>
              </w:rPr>
              <w:t>注：项目提供明细清单，并附无异议函或相关证明。</w:t>
            </w:r>
          </w:p>
        </w:tc>
        <w:tc>
          <w:tcPr>
            <w:tcW w:w="821" w:type="dxa"/>
            <w:tcBorders>
              <w:tl2br w:val="nil"/>
              <w:tr2bl w:val="nil"/>
            </w:tcBorders>
            <w:vAlign w:val="center"/>
          </w:tcPr>
          <w:p>
            <w:pPr>
              <w:widowControl/>
              <w:jc w:val="center"/>
              <w:rPr>
                <w:rFonts w:ascii="宋体" w:hAnsi="宋体"/>
              </w:rPr>
            </w:pPr>
            <w:r>
              <w:rPr>
                <w:rFonts w:hint="eastAsia" w:ascii="宋体" w:hAnsi="宋体"/>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943" w:type="dxa"/>
            <w:vMerge w:val="continue"/>
            <w:tcBorders>
              <w:tl2br w:val="nil"/>
              <w:tr2bl w:val="nil"/>
            </w:tcBorders>
            <w:vAlign w:val="center"/>
          </w:tcPr>
          <w:p>
            <w:pPr>
              <w:widowControl/>
              <w:jc w:val="center"/>
              <w:rPr>
                <w:b/>
                <w:bCs/>
              </w:rPr>
            </w:pPr>
          </w:p>
        </w:tc>
        <w:tc>
          <w:tcPr>
            <w:tcW w:w="1212" w:type="dxa"/>
            <w:tcBorders>
              <w:tl2br w:val="nil"/>
              <w:tr2bl w:val="nil"/>
            </w:tcBorders>
            <w:vAlign w:val="center"/>
          </w:tcPr>
          <w:p>
            <w:pPr>
              <w:widowControl/>
              <w:jc w:val="center"/>
              <w:rPr>
                <w:b/>
                <w:bCs/>
              </w:rPr>
            </w:pPr>
            <w:r>
              <w:rPr>
                <w:rFonts w:hint="eastAsia"/>
                <w:b/>
                <w:bCs/>
              </w:rPr>
              <w:t>城投供应链资产证券化发行经验</w:t>
            </w:r>
          </w:p>
        </w:tc>
        <w:tc>
          <w:tcPr>
            <w:tcW w:w="5954" w:type="dxa"/>
            <w:tcBorders>
              <w:tl2br w:val="nil"/>
              <w:tr2bl w:val="nil"/>
            </w:tcBorders>
            <w:vAlign w:val="center"/>
          </w:tcPr>
          <w:p>
            <w:pPr>
              <w:widowControl/>
              <w:spacing w:line="360" w:lineRule="exact"/>
              <w:jc w:val="left"/>
              <w:rPr>
                <w:rFonts w:ascii="宋体" w:hAnsi="宋体" w:cs="宋体"/>
              </w:rPr>
            </w:pPr>
            <w:r>
              <w:rPr>
                <w:rFonts w:hint="eastAsia" w:ascii="宋体" w:hAnsi="宋体" w:cs="宋体"/>
              </w:rPr>
              <w:t>有在交易所城投供应链资产证券化发行成功案例20单以上得15分，15-20单得8分，10-15单得2分，10单以下不得分。</w:t>
            </w:r>
          </w:p>
          <w:p>
            <w:pPr>
              <w:pStyle w:val="2"/>
              <w:rPr>
                <w:rFonts w:ascii="宋体" w:hAnsi="宋体"/>
              </w:rPr>
            </w:pPr>
            <w:r>
              <w:rPr>
                <w:rFonts w:hint="eastAsia" w:ascii="宋体" w:hAnsi="宋体"/>
              </w:rPr>
              <w:t>注：请提供证明材料</w:t>
            </w:r>
          </w:p>
        </w:tc>
        <w:tc>
          <w:tcPr>
            <w:tcW w:w="821" w:type="dxa"/>
            <w:tcBorders>
              <w:tl2br w:val="nil"/>
              <w:tr2bl w:val="nil"/>
            </w:tcBorders>
            <w:vAlign w:val="center"/>
          </w:tcPr>
          <w:p>
            <w:pPr>
              <w:widowControl/>
              <w:jc w:val="center"/>
              <w:rPr>
                <w:rFonts w:ascii="宋体" w:hAnsi="宋体"/>
              </w:rPr>
            </w:pPr>
            <w:r>
              <w:rPr>
                <w:rFonts w:hint="eastAsia" w:ascii="宋体" w:hAnsi="宋体"/>
              </w:rPr>
              <w:t>1</w:t>
            </w:r>
            <w:r>
              <w:rPr>
                <w:rFonts w:ascii="宋体" w:hAnsi="宋体"/>
              </w:rPr>
              <w:t>5</w:t>
            </w:r>
            <w:r>
              <w:rPr>
                <w:rFonts w:hint="eastAsia" w:ascii="宋体" w:hAnsi="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943" w:type="dxa"/>
            <w:vMerge w:val="continue"/>
            <w:tcBorders>
              <w:tl2br w:val="nil"/>
              <w:tr2bl w:val="nil"/>
            </w:tcBorders>
            <w:vAlign w:val="center"/>
          </w:tcPr>
          <w:p>
            <w:pPr>
              <w:widowControl/>
              <w:jc w:val="center"/>
              <w:rPr>
                <w:b/>
                <w:bCs/>
              </w:rPr>
            </w:pPr>
          </w:p>
        </w:tc>
        <w:tc>
          <w:tcPr>
            <w:tcW w:w="1212" w:type="dxa"/>
            <w:tcBorders>
              <w:tl2br w:val="nil"/>
              <w:tr2bl w:val="nil"/>
            </w:tcBorders>
            <w:vAlign w:val="center"/>
          </w:tcPr>
          <w:p>
            <w:pPr>
              <w:widowControl/>
              <w:jc w:val="center"/>
              <w:rPr>
                <w:b/>
                <w:bCs/>
              </w:rPr>
            </w:pPr>
            <w:r>
              <w:rPr>
                <w:rFonts w:hint="eastAsia"/>
                <w:b/>
                <w:bCs/>
                <w:szCs w:val="21"/>
              </w:rPr>
              <w:t>河南地区ABS产品承销业绩</w:t>
            </w:r>
          </w:p>
        </w:tc>
        <w:tc>
          <w:tcPr>
            <w:tcW w:w="5954" w:type="dxa"/>
            <w:tcBorders>
              <w:tl2br w:val="nil"/>
              <w:tr2bl w:val="nil"/>
            </w:tcBorders>
            <w:vAlign w:val="center"/>
          </w:tcPr>
          <w:p>
            <w:pPr>
              <w:widowControl/>
              <w:spacing w:line="360" w:lineRule="exact"/>
              <w:jc w:val="left"/>
              <w:rPr>
                <w:rFonts w:ascii="宋体" w:hAnsi="宋体" w:cs="宋体"/>
              </w:rPr>
            </w:pPr>
            <w:r>
              <w:rPr>
                <w:rFonts w:hint="eastAsia" w:ascii="宋体" w:hAnsi="宋体" w:cs="宋体"/>
              </w:rPr>
              <w:t>2</w:t>
            </w:r>
            <w:r>
              <w:rPr>
                <w:rFonts w:ascii="宋体" w:hAnsi="宋体" w:cs="宋体"/>
              </w:rPr>
              <w:t>019</w:t>
            </w:r>
            <w:r>
              <w:rPr>
                <w:rFonts w:hint="eastAsia" w:ascii="宋体" w:hAnsi="宋体" w:cs="宋体"/>
              </w:rPr>
              <w:t>年至今，作为原始权益人为河南省区域客户成功发行企业ABS产品的，每有1单得5分，最高得1</w:t>
            </w:r>
            <w:r>
              <w:rPr>
                <w:rFonts w:ascii="宋体" w:hAnsi="宋体" w:cs="宋体"/>
              </w:rPr>
              <w:t>0</w:t>
            </w:r>
            <w:r>
              <w:rPr>
                <w:rFonts w:hint="eastAsia" w:ascii="宋体" w:hAnsi="宋体" w:cs="宋体"/>
              </w:rPr>
              <w:t>分。</w:t>
            </w:r>
          </w:p>
          <w:p>
            <w:pPr>
              <w:widowControl/>
              <w:spacing w:line="360" w:lineRule="exact"/>
              <w:jc w:val="left"/>
              <w:rPr>
                <w:rFonts w:ascii="宋体" w:hAnsi="宋体" w:cs="宋体"/>
              </w:rPr>
            </w:pPr>
            <w:r>
              <w:rPr>
                <w:rFonts w:hint="eastAsia" w:ascii="宋体" w:hAnsi="宋体"/>
              </w:rPr>
              <w:t>注：请提供证明材料</w:t>
            </w:r>
          </w:p>
        </w:tc>
        <w:tc>
          <w:tcPr>
            <w:tcW w:w="821" w:type="dxa"/>
            <w:tcBorders>
              <w:tl2br w:val="nil"/>
              <w:tr2bl w:val="nil"/>
            </w:tcBorders>
            <w:vAlign w:val="center"/>
          </w:tcPr>
          <w:p>
            <w:pPr>
              <w:widowControl/>
              <w:jc w:val="center"/>
              <w:rPr>
                <w:rFonts w:ascii="宋体" w:hAnsi="宋体"/>
              </w:rPr>
            </w:pPr>
            <w:r>
              <w:rPr>
                <w:rFonts w:hint="eastAsia" w:ascii="宋体" w:hAnsi="宋体"/>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943" w:type="dxa"/>
            <w:vMerge w:val="continue"/>
            <w:tcBorders>
              <w:tl2br w:val="nil"/>
              <w:tr2bl w:val="nil"/>
            </w:tcBorders>
            <w:vAlign w:val="center"/>
          </w:tcPr>
          <w:p>
            <w:pPr>
              <w:widowControl/>
              <w:jc w:val="center"/>
              <w:rPr>
                <w:b/>
                <w:bCs/>
              </w:rPr>
            </w:pPr>
          </w:p>
        </w:tc>
        <w:tc>
          <w:tcPr>
            <w:tcW w:w="1212" w:type="dxa"/>
            <w:tcBorders>
              <w:tl2br w:val="nil"/>
              <w:tr2bl w:val="nil"/>
            </w:tcBorders>
            <w:vAlign w:val="center"/>
          </w:tcPr>
          <w:p>
            <w:pPr>
              <w:widowControl/>
              <w:jc w:val="center"/>
              <w:rPr>
                <w:b/>
                <w:bCs/>
              </w:rPr>
            </w:pPr>
            <w:r>
              <w:rPr>
                <w:rFonts w:hint="eastAsia"/>
                <w:b/>
                <w:bCs/>
              </w:rPr>
              <w:t>运营科技能力配置</w:t>
            </w:r>
          </w:p>
        </w:tc>
        <w:tc>
          <w:tcPr>
            <w:tcW w:w="5954" w:type="dxa"/>
            <w:tcBorders>
              <w:tl2br w:val="nil"/>
              <w:tr2bl w:val="nil"/>
            </w:tcBorders>
            <w:vAlign w:val="center"/>
          </w:tcPr>
          <w:p>
            <w:pPr>
              <w:widowControl/>
              <w:rPr>
                <w:rFonts w:ascii="宋体" w:hAnsi="宋体"/>
                <w:color w:val="000000"/>
                <w:kern w:val="0"/>
                <w:szCs w:val="21"/>
              </w:rPr>
            </w:pPr>
            <w:r>
              <w:rPr>
                <w:rFonts w:hint="eastAsia" w:ascii="宋体" w:hAnsi="宋体"/>
                <w:color w:val="000000"/>
                <w:kern w:val="0"/>
                <w:szCs w:val="21"/>
              </w:rPr>
              <w:t>保理公司运营科技能力配置，满足以下全部项的得</w:t>
            </w:r>
            <w:r>
              <w:rPr>
                <w:rFonts w:ascii="宋体" w:hAnsi="宋体"/>
                <w:color w:val="000000"/>
                <w:kern w:val="0"/>
                <w:szCs w:val="21"/>
              </w:rPr>
              <w:t>5</w:t>
            </w:r>
            <w:r>
              <w:rPr>
                <w:rFonts w:hint="eastAsia" w:ascii="宋体" w:hAnsi="宋体"/>
                <w:color w:val="000000"/>
                <w:kern w:val="0"/>
                <w:szCs w:val="21"/>
              </w:rPr>
              <w:t>分，满足5-7项得</w:t>
            </w:r>
            <w:r>
              <w:rPr>
                <w:rFonts w:ascii="宋体" w:hAnsi="宋体"/>
                <w:color w:val="000000"/>
                <w:kern w:val="0"/>
                <w:szCs w:val="21"/>
              </w:rPr>
              <w:t>3</w:t>
            </w:r>
            <w:r>
              <w:rPr>
                <w:rFonts w:hint="eastAsia" w:ascii="宋体" w:hAnsi="宋体"/>
                <w:color w:val="000000"/>
                <w:kern w:val="0"/>
                <w:szCs w:val="21"/>
              </w:rPr>
              <w:t>分，满足2-</w:t>
            </w:r>
            <w:r>
              <w:rPr>
                <w:rFonts w:ascii="宋体" w:hAnsi="宋体"/>
                <w:color w:val="000000"/>
                <w:kern w:val="0"/>
                <w:szCs w:val="21"/>
              </w:rPr>
              <w:t>4</w:t>
            </w:r>
            <w:r>
              <w:rPr>
                <w:rFonts w:hint="eastAsia" w:ascii="宋体" w:hAnsi="宋体"/>
                <w:color w:val="000000"/>
                <w:kern w:val="0"/>
                <w:szCs w:val="21"/>
              </w:rPr>
              <w:t>项得</w:t>
            </w:r>
            <w:r>
              <w:rPr>
                <w:rFonts w:ascii="宋体" w:hAnsi="宋体"/>
                <w:color w:val="000000"/>
                <w:kern w:val="0"/>
                <w:szCs w:val="21"/>
              </w:rPr>
              <w:t>1</w:t>
            </w:r>
            <w:r>
              <w:rPr>
                <w:rFonts w:hint="eastAsia" w:ascii="宋体" w:hAnsi="宋体"/>
                <w:color w:val="000000"/>
                <w:kern w:val="0"/>
                <w:szCs w:val="21"/>
              </w:rPr>
              <w:t>分，满足1</w:t>
            </w:r>
            <w:r>
              <w:rPr>
                <w:rFonts w:ascii="宋体" w:hAnsi="宋体"/>
                <w:color w:val="000000"/>
                <w:kern w:val="0"/>
                <w:szCs w:val="21"/>
              </w:rPr>
              <w:t>项</w:t>
            </w:r>
            <w:r>
              <w:rPr>
                <w:rFonts w:hint="eastAsia" w:ascii="宋体" w:hAnsi="宋体"/>
                <w:color w:val="000000"/>
                <w:kern w:val="0"/>
                <w:szCs w:val="21"/>
              </w:rPr>
              <w:t>及以下不得分：</w:t>
            </w:r>
          </w:p>
          <w:p>
            <w:pPr>
              <w:widowControl/>
              <w:rPr>
                <w:rFonts w:ascii="宋体" w:hAnsi="宋体"/>
                <w:color w:val="000000"/>
                <w:kern w:val="0"/>
                <w:szCs w:val="21"/>
              </w:rPr>
            </w:pPr>
            <w:r>
              <w:rPr>
                <w:rFonts w:hint="eastAsia" w:ascii="宋体" w:hAnsi="宋体"/>
                <w:color w:val="000000"/>
                <w:kern w:val="0"/>
                <w:szCs w:val="21"/>
              </w:rPr>
              <w:t>（1）保理ABS运营系统各方机构在线端口</w:t>
            </w:r>
          </w:p>
          <w:p>
            <w:pPr>
              <w:widowControl/>
              <w:rPr>
                <w:rFonts w:ascii="宋体" w:hAnsi="宋体"/>
                <w:color w:val="000000"/>
                <w:kern w:val="0"/>
                <w:szCs w:val="21"/>
              </w:rPr>
            </w:pPr>
            <w:r>
              <w:rPr>
                <w:rFonts w:hint="eastAsia" w:ascii="宋体" w:hAnsi="宋体"/>
                <w:color w:val="000000"/>
                <w:kern w:val="0"/>
                <w:szCs w:val="21"/>
              </w:rPr>
              <w:t>（2）发票自动识别&amp;查验</w:t>
            </w:r>
          </w:p>
          <w:p>
            <w:pPr>
              <w:widowControl/>
              <w:rPr>
                <w:rFonts w:ascii="宋体" w:hAnsi="宋体"/>
                <w:color w:val="000000"/>
                <w:kern w:val="0"/>
                <w:szCs w:val="21"/>
              </w:rPr>
            </w:pPr>
            <w:r>
              <w:rPr>
                <w:rFonts w:hint="eastAsia" w:ascii="宋体" w:hAnsi="宋体"/>
                <w:color w:val="000000"/>
                <w:kern w:val="0"/>
                <w:szCs w:val="21"/>
              </w:rPr>
              <w:t>（3）电子合同</w:t>
            </w:r>
          </w:p>
          <w:p>
            <w:pPr>
              <w:widowControl/>
              <w:rPr>
                <w:rFonts w:ascii="宋体" w:hAnsi="宋体"/>
                <w:color w:val="000000"/>
                <w:kern w:val="0"/>
                <w:szCs w:val="21"/>
              </w:rPr>
            </w:pPr>
            <w:r>
              <w:rPr>
                <w:rFonts w:hint="eastAsia" w:ascii="宋体" w:hAnsi="宋体"/>
                <w:color w:val="000000"/>
                <w:kern w:val="0"/>
                <w:szCs w:val="21"/>
              </w:rPr>
              <w:t>（4）自助开票</w:t>
            </w:r>
          </w:p>
          <w:p>
            <w:pPr>
              <w:widowControl/>
              <w:rPr>
                <w:rFonts w:ascii="宋体" w:hAnsi="宋体"/>
                <w:color w:val="000000"/>
                <w:kern w:val="0"/>
                <w:szCs w:val="21"/>
              </w:rPr>
            </w:pPr>
            <w:r>
              <w:rPr>
                <w:rFonts w:hint="eastAsia" w:ascii="宋体" w:hAnsi="宋体"/>
                <w:color w:val="000000"/>
                <w:kern w:val="0"/>
                <w:szCs w:val="21"/>
              </w:rPr>
              <w:t>（5）微信小程序移动应用</w:t>
            </w:r>
          </w:p>
          <w:p>
            <w:pPr>
              <w:widowControl/>
              <w:rPr>
                <w:rFonts w:ascii="宋体" w:hAnsi="宋体"/>
                <w:color w:val="000000"/>
                <w:kern w:val="0"/>
                <w:szCs w:val="21"/>
              </w:rPr>
            </w:pPr>
            <w:r>
              <w:rPr>
                <w:rFonts w:hint="eastAsia" w:ascii="宋体" w:hAnsi="宋体"/>
                <w:color w:val="000000"/>
                <w:kern w:val="0"/>
                <w:szCs w:val="21"/>
              </w:rPr>
              <w:t>（6）中登网直联登记和查询</w:t>
            </w:r>
          </w:p>
          <w:p>
            <w:pPr>
              <w:widowControl/>
              <w:rPr>
                <w:rFonts w:ascii="宋体" w:hAnsi="宋体"/>
                <w:color w:val="000000"/>
                <w:kern w:val="0"/>
                <w:szCs w:val="21"/>
              </w:rPr>
            </w:pPr>
            <w:r>
              <w:rPr>
                <w:rFonts w:hint="eastAsia" w:ascii="宋体" w:hAnsi="宋体"/>
                <w:color w:val="000000"/>
                <w:kern w:val="0"/>
                <w:szCs w:val="21"/>
              </w:rPr>
              <w:t>（7）第三方征信</w:t>
            </w:r>
          </w:p>
          <w:p>
            <w:pPr>
              <w:widowControl/>
              <w:rPr>
                <w:rFonts w:ascii="宋体" w:hAnsi="宋体"/>
                <w:color w:val="000000"/>
                <w:kern w:val="0"/>
                <w:szCs w:val="21"/>
              </w:rPr>
            </w:pPr>
            <w:r>
              <w:rPr>
                <w:rFonts w:hint="eastAsia" w:ascii="宋体" w:hAnsi="宋体"/>
                <w:color w:val="000000"/>
                <w:kern w:val="0"/>
                <w:szCs w:val="21"/>
              </w:rPr>
              <w:t>（8）存续期管理及监控</w:t>
            </w:r>
          </w:p>
          <w:p>
            <w:pPr>
              <w:widowControl/>
              <w:jc w:val="left"/>
              <w:rPr>
                <w:rFonts w:ascii="宋体" w:hAnsi="宋体" w:cs="宋体"/>
              </w:rPr>
            </w:pPr>
            <w:r>
              <w:rPr>
                <w:rFonts w:ascii="宋体" w:hAnsi="宋体"/>
                <w:color w:val="000000"/>
                <w:kern w:val="0"/>
                <w:szCs w:val="21"/>
              </w:rPr>
              <w:t>注：请提供</w:t>
            </w:r>
            <w:r>
              <w:rPr>
                <w:rFonts w:hint="eastAsia" w:ascii="宋体" w:hAnsi="宋体"/>
                <w:color w:val="000000"/>
                <w:kern w:val="0"/>
                <w:szCs w:val="21"/>
              </w:rPr>
              <w:t>相关</w:t>
            </w:r>
            <w:r>
              <w:rPr>
                <w:rFonts w:ascii="宋体" w:hAnsi="宋体"/>
                <w:color w:val="000000"/>
                <w:kern w:val="0"/>
                <w:szCs w:val="21"/>
              </w:rPr>
              <w:t>页面截图</w:t>
            </w:r>
            <w:r>
              <w:rPr>
                <w:rFonts w:hint="eastAsia" w:ascii="宋体" w:hAnsi="宋体"/>
                <w:color w:val="000000"/>
                <w:kern w:val="0"/>
                <w:szCs w:val="21"/>
              </w:rPr>
              <w:t>、协议文件或相关证明材料</w:t>
            </w:r>
            <w:r>
              <w:rPr>
                <w:rFonts w:ascii="宋体" w:hAnsi="宋体"/>
                <w:color w:val="000000"/>
                <w:kern w:val="0"/>
                <w:szCs w:val="21"/>
              </w:rPr>
              <w:t>。</w:t>
            </w:r>
          </w:p>
        </w:tc>
        <w:tc>
          <w:tcPr>
            <w:tcW w:w="821" w:type="dxa"/>
            <w:tcBorders>
              <w:tl2br w:val="nil"/>
              <w:tr2bl w:val="nil"/>
            </w:tcBorders>
            <w:vAlign w:val="center"/>
          </w:tcPr>
          <w:p>
            <w:pPr>
              <w:widowControl/>
              <w:jc w:val="center"/>
              <w:rPr>
                <w:rFonts w:ascii="宋体" w:hAnsi="宋体"/>
              </w:rPr>
            </w:pPr>
            <w:r>
              <w:rPr>
                <w:rFonts w:hint="eastAsia" w:ascii="宋体" w:hAnsi="宋体"/>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930" w:type="dxa"/>
            <w:gridSpan w:val="4"/>
            <w:tcBorders>
              <w:tl2br w:val="nil"/>
              <w:tr2bl w:val="nil"/>
            </w:tcBorders>
            <w:vAlign w:val="center"/>
          </w:tcPr>
          <w:p>
            <w:pPr>
              <w:widowControl/>
              <w:jc w:val="center"/>
              <w:rPr>
                <w:b/>
                <w:bCs/>
              </w:rPr>
            </w:pPr>
            <w:r>
              <w:rPr>
                <w:rFonts w:hint="eastAsia"/>
                <w:b/>
                <w:bCs/>
              </w:rPr>
              <w:t>（3）券商</w:t>
            </w:r>
            <w:r>
              <w:rPr>
                <w:b/>
                <w:bCs/>
              </w:rPr>
              <w:t>（满分</w:t>
            </w:r>
            <w:r>
              <w:rPr>
                <w:rFonts w:hint="eastAsia"/>
                <w:b/>
                <w:bCs/>
              </w:rPr>
              <w:t>45</w:t>
            </w:r>
            <w:r>
              <w:rPr>
                <w:b/>
                <w:bCs/>
              </w:rPr>
              <w:t>分）</w:t>
            </w:r>
          </w:p>
          <w:p>
            <w:pPr>
              <w:pStyle w:val="8"/>
              <w:ind w:left="600" w:leftChars="0"/>
            </w:pPr>
            <w:r>
              <w:rPr>
                <w:rFonts w:hint="eastAsia"/>
              </w:rPr>
              <w:t xml:space="preserve">                                                               </w:t>
            </w:r>
            <w:r>
              <w:rPr>
                <w:rFonts w:hint="eastAsia"/>
                <w:b/>
                <w:bCs/>
              </w:rPr>
              <w:t xml:space="preserve">单位：亿元  </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155" w:type="dxa"/>
            <w:gridSpan w:val="2"/>
            <w:tcBorders>
              <w:tl2br w:val="nil"/>
              <w:tr2bl w:val="nil"/>
            </w:tcBorders>
            <w:vAlign w:val="center"/>
          </w:tcPr>
          <w:p>
            <w:pPr>
              <w:widowControl/>
              <w:jc w:val="center"/>
              <w:rPr>
                <w:b/>
                <w:bCs/>
              </w:rPr>
            </w:pPr>
            <w:r>
              <w:rPr>
                <w:rFonts w:hint="eastAsia"/>
                <w:b/>
                <w:bCs/>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821"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943" w:type="dxa"/>
            <w:vMerge w:val="restart"/>
            <w:tcBorders>
              <w:tl2br w:val="nil"/>
              <w:tr2bl w:val="nil"/>
            </w:tcBorders>
            <w:vAlign w:val="center"/>
          </w:tcPr>
          <w:p>
            <w:pPr>
              <w:pStyle w:val="48"/>
              <w:jc w:val="center"/>
              <w:rPr>
                <w:rFonts w:ascii="Calibri" w:eastAsia="宋体" w:cs="Times New Roman"/>
                <w:b/>
                <w:bCs/>
                <w:color w:val="auto"/>
                <w:kern w:val="2"/>
                <w:sz w:val="21"/>
                <w:szCs w:val="21"/>
              </w:rPr>
            </w:pPr>
            <w:r>
              <w:rPr>
                <w:rFonts w:hint="eastAsia"/>
                <w:b/>
                <w:bCs/>
                <w:sz w:val="21"/>
                <w:szCs w:val="21"/>
              </w:rPr>
              <w:t>券商</w:t>
            </w:r>
          </w:p>
        </w:tc>
        <w:tc>
          <w:tcPr>
            <w:tcW w:w="1212" w:type="dxa"/>
            <w:tcBorders>
              <w:tl2br w:val="nil"/>
              <w:tr2bl w:val="nil"/>
            </w:tcBorders>
            <w:vAlign w:val="center"/>
          </w:tcPr>
          <w:p>
            <w:pPr>
              <w:pStyle w:val="48"/>
              <w:jc w:val="center"/>
              <w:rPr>
                <w:rFonts w:ascii="Calibri" w:eastAsia="宋体" w:cs="Times New Roman"/>
                <w:b/>
                <w:bCs/>
                <w:color w:val="auto"/>
                <w:kern w:val="2"/>
                <w:sz w:val="21"/>
                <w:szCs w:val="21"/>
              </w:rPr>
            </w:pPr>
            <w:r>
              <w:rPr>
                <w:rFonts w:hint="eastAsia"/>
                <w:b/>
                <w:bCs/>
                <w:sz w:val="21"/>
                <w:szCs w:val="21"/>
              </w:rPr>
              <w:t>承销方案</w:t>
            </w:r>
          </w:p>
        </w:tc>
        <w:tc>
          <w:tcPr>
            <w:tcW w:w="5954" w:type="dxa"/>
            <w:tcBorders>
              <w:tl2br w:val="nil"/>
              <w:tr2bl w:val="nil"/>
            </w:tcBorders>
            <w:vAlign w:val="center"/>
          </w:tcPr>
          <w:p>
            <w:pPr>
              <w:pStyle w:val="8"/>
              <w:rPr>
                <w:rFonts w:ascii="宋体" w:hAnsi="宋体" w:cs="宋体"/>
              </w:rPr>
            </w:pPr>
            <w:r>
              <w:rPr>
                <w:rFonts w:hint="eastAsia" w:ascii="宋体" w:hAnsi="宋体" w:cs="宋体"/>
              </w:rPr>
              <w:t>投标人设计的发行方案是否完善、合理。包括但不限于以下要素：</w:t>
            </w:r>
          </w:p>
          <w:p>
            <w:pPr>
              <w:widowControl/>
              <w:rPr>
                <w:rFonts w:ascii="宋体" w:hAnsi="宋体"/>
                <w:color w:val="000000"/>
                <w:kern w:val="0"/>
                <w:szCs w:val="21"/>
              </w:rPr>
            </w:pPr>
            <w:r>
              <w:rPr>
                <w:rFonts w:hint="eastAsia" w:ascii="宋体" w:hAnsi="宋体"/>
                <w:color w:val="000000"/>
                <w:kern w:val="0"/>
                <w:szCs w:val="21"/>
              </w:rPr>
              <w:t>1、项目需重点关注问题及解决方案；</w:t>
            </w:r>
          </w:p>
          <w:p>
            <w:pPr>
              <w:widowControl/>
              <w:rPr>
                <w:rFonts w:ascii="宋体" w:hAnsi="宋体"/>
                <w:color w:val="000000"/>
                <w:kern w:val="0"/>
                <w:szCs w:val="21"/>
              </w:rPr>
            </w:pPr>
            <w:r>
              <w:rPr>
                <w:rFonts w:hint="eastAsia" w:ascii="宋体" w:hAnsi="宋体"/>
                <w:color w:val="000000"/>
                <w:kern w:val="0"/>
                <w:szCs w:val="21"/>
              </w:rPr>
              <w:t>2、保障发行的措施：</w:t>
            </w:r>
          </w:p>
          <w:p>
            <w:pPr>
              <w:widowControl/>
              <w:rPr>
                <w:rFonts w:ascii="宋体" w:hAnsi="宋体"/>
                <w:color w:val="000000"/>
                <w:kern w:val="0"/>
                <w:szCs w:val="21"/>
              </w:rPr>
            </w:pPr>
            <w:r>
              <w:rPr>
                <w:rFonts w:hint="eastAsia" w:ascii="宋体" w:hAnsi="宋体"/>
                <w:color w:val="000000"/>
                <w:kern w:val="0"/>
                <w:szCs w:val="21"/>
              </w:rPr>
              <w:t>3、如何提高项目注册效率；</w:t>
            </w:r>
          </w:p>
          <w:p>
            <w:pPr>
              <w:widowControl/>
              <w:rPr>
                <w:rFonts w:ascii="宋体" w:hAnsi="宋体"/>
                <w:color w:val="000000"/>
                <w:kern w:val="0"/>
                <w:szCs w:val="21"/>
              </w:rPr>
            </w:pPr>
            <w:r>
              <w:rPr>
                <w:rFonts w:hint="eastAsia" w:ascii="宋体" w:hAnsi="宋体"/>
                <w:color w:val="000000"/>
                <w:kern w:val="0"/>
                <w:szCs w:val="21"/>
              </w:rPr>
              <w:t>4、降低发行成本的建议；</w:t>
            </w:r>
          </w:p>
          <w:p>
            <w:pPr>
              <w:widowControl/>
              <w:rPr>
                <w:rFonts w:ascii="宋体" w:hAnsi="宋体"/>
                <w:color w:val="000000"/>
                <w:kern w:val="0"/>
                <w:szCs w:val="21"/>
              </w:rPr>
            </w:pPr>
            <w:r>
              <w:rPr>
                <w:rFonts w:hint="eastAsia" w:ascii="宋体" w:hAnsi="宋体"/>
                <w:color w:val="000000"/>
                <w:kern w:val="0"/>
                <w:szCs w:val="21"/>
              </w:rPr>
              <w:t>5、项目进度时间安排；</w:t>
            </w:r>
          </w:p>
          <w:p>
            <w:pPr>
              <w:widowControl/>
              <w:rPr>
                <w:rFonts w:ascii="宋体" w:hAnsi="宋体"/>
                <w:color w:val="000000"/>
                <w:kern w:val="0"/>
                <w:szCs w:val="21"/>
              </w:rPr>
            </w:pPr>
            <w:r>
              <w:rPr>
                <w:rFonts w:hint="eastAsia" w:ascii="宋体" w:hAnsi="宋体"/>
                <w:color w:val="000000"/>
                <w:kern w:val="0"/>
                <w:szCs w:val="21"/>
              </w:rPr>
              <w:t>6、投标人的优势；</w:t>
            </w:r>
          </w:p>
          <w:p>
            <w:pPr>
              <w:widowControl/>
              <w:rPr>
                <w:rFonts w:ascii="宋体" w:hAnsi="宋体"/>
                <w:color w:val="000000"/>
                <w:kern w:val="0"/>
                <w:szCs w:val="21"/>
              </w:rPr>
            </w:pPr>
            <w:r>
              <w:rPr>
                <w:rFonts w:hint="eastAsia" w:ascii="宋体" w:hAnsi="宋体"/>
                <w:color w:val="000000"/>
                <w:kern w:val="0"/>
                <w:szCs w:val="21"/>
              </w:rPr>
              <w:t>7、债券存续期服务安排；</w:t>
            </w:r>
          </w:p>
          <w:p>
            <w:pPr>
              <w:widowControl/>
              <w:rPr>
                <w:rFonts w:ascii="宋体" w:hAnsi="宋体"/>
                <w:color w:val="000000"/>
                <w:kern w:val="0"/>
                <w:szCs w:val="21"/>
              </w:rPr>
            </w:pPr>
            <w:r>
              <w:rPr>
                <w:rFonts w:hint="eastAsia" w:ascii="宋体" w:hAnsi="宋体"/>
                <w:color w:val="000000"/>
                <w:kern w:val="0"/>
                <w:szCs w:val="21"/>
              </w:rPr>
              <w:t>8、其他服务性承诺。</w:t>
            </w:r>
          </w:p>
          <w:p>
            <w:pPr>
              <w:pStyle w:val="48"/>
              <w:rPr>
                <w:rFonts w:ascii="宋体" w:hAnsi="宋体" w:eastAsia="宋体" w:cs="宋体"/>
                <w:color w:val="auto"/>
                <w:kern w:val="2"/>
                <w:sz w:val="21"/>
                <w:szCs w:val="22"/>
              </w:rPr>
            </w:pPr>
            <w:r>
              <w:rPr>
                <w:rFonts w:hint="eastAsia" w:ascii="宋体" w:hAnsi="宋体" w:cs="宋体"/>
                <w:sz w:val="21"/>
                <w:szCs w:val="21"/>
              </w:rPr>
              <w:t>方案要素完善、方案很好的得</w:t>
            </w:r>
            <w:r>
              <w:rPr>
                <w:rFonts w:ascii="宋体" w:hAnsi="宋体" w:cs="宋体"/>
                <w:sz w:val="21"/>
                <w:szCs w:val="21"/>
              </w:rPr>
              <w:t>7</w:t>
            </w: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0分；方案要素完善、方案较好的得</w:t>
            </w:r>
            <w:r>
              <w:rPr>
                <w:rFonts w:ascii="宋体" w:hAnsi="宋体" w:cs="宋体"/>
                <w:sz w:val="21"/>
                <w:szCs w:val="21"/>
              </w:rPr>
              <w:t>4</w:t>
            </w:r>
            <w:r>
              <w:rPr>
                <w:rFonts w:hint="eastAsia" w:ascii="宋体" w:hAnsi="宋体" w:cs="宋体"/>
                <w:sz w:val="21"/>
                <w:szCs w:val="21"/>
              </w:rPr>
              <w:t>-</w:t>
            </w:r>
            <w:r>
              <w:rPr>
                <w:rFonts w:ascii="宋体" w:hAnsi="宋体" w:cs="宋体"/>
                <w:sz w:val="21"/>
                <w:szCs w:val="21"/>
              </w:rPr>
              <w:t>6</w:t>
            </w:r>
            <w:r>
              <w:rPr>
                <w:rFonts w:hint="eastAsia" w:ascii="宋体" w:hAnsi="宋体" w:cs="宋体"/>
                <w:sz w:val="21"/>
                <w:szCs w:val="21"/>
              </w:rPr>
              <w:t>分；方案要素基本完善、方案一般的得</w:t>
            </w:r>
            <w:r>
              <w:rPr>
                <w:rFonts w:ascii="宋体" w:hAnsi="宋体" w:cs="宋体"/>
                <w:sz w:val="21"/>
                <w:szCs w:val="21"/>
              </w:rPr>
              <w:t>1</w:t>
            </w:r>
            <w:r>
              <w:rPr>
                <w:rFonts w:hint="eastAsia" w:ascii="宋体" w:hAnsi="宋体" w:cs="宋体"/>
                <w:sz w:val="21"/>
                <w:szCs w:val="21"/>
              </w:rPr>
              <w:t>-</w:t>
            </w:r>
            <w:r>
              <w:rPr>
                <w:rFonts w:ascii="宋体" w:hAnsi="宋体" w:cs="宋体"/>
                <w:sz w:val="21"/>
                <w:szCs w:val="21"/>
              </w:rPr>
              <w:t>3</w:t>
            </w:r>
            <w:r>
              <w:rPr>
                <w:rFonts w:hint="eastAsia" w:ascii="宋体" w:hAnsi="宋体" w:cs="宋体"/>
                <w:sz w:val="21"/>
                <w:szCs w:val="21"/>
              </w:rPr>
              <w:t>分；方案要素缺失、方案不合理较差的得0分。</w:t>
            </w:r>
          </w:p>
        </w:tc>
        <w:tc>
          <w:tcPr>
            <w:tcW w:w="821" w:type="dxa"/>
            <w:tcBorders>
              <w:tl2br w:val="nil"/>
              <w:tr2bl w:val="nil"/>
            </w:tcBorders>
            <w:vAlign w:val="center"/>
          </w:tcPr>
          <w:p>
            <w:pPr>
              <w:pStyle w:val="48"/>
              <w:jc w:val="center"/>
              <w:rPr>
                <w:rFonts w:ascii="宋体" w:hAnsi="宋体" w:eastAsia="宋体" w:cs="宋体"/>
                <w:sz w:val="21"/>
                <w:szCs w:val="21"/>
              </w:rPr>
            </w:pPr>
            <w:r>
              <w:rPr>
                <w:sz w:val="21"/>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943" w:type="dxa"/>
            <w:vMerge w:val="continue"/>
            <w:tcBorders>
              <w:tl2br w:val="nil"/>
              <w:tr2bl w:val="nil"/>
            </w:tcBorders>
            <w:vAlign w:val="center"/>
          </w:tcPr>
          <w:p>
            <w:pPr>
              <w:pStyle w:val="48"/>
              <w:jc w:val="center"/>
              <w:rPr>
                <w:rFonts w:ascii="Calibri" w:eastAsia="宋体" w:cs="Times New Roman"/>
                <w:b/>
                <w:bCs/>
                <w:color w:val="auto"/>
                <w:kern w:val="2"/>
                <w:sz w:val="21"/>
                <w:szCs w:val="21"/>
              </w:rPr>
            </w:pPr>
          </w:p>
        </w:tc>
        <w:tc>
          <w:tcPr>
            <w:tcW w:w="1212" w:type="dxa"/>
            <w:tcBorders>
              <w:tl2br w:val="nil"/>
              <w:tr2bl w:val="nil"/>
            </w:tcBorders>
            <w:vAlign w:val="center"/>
          </w:tcPr>
          <w:p>
            <w:pPr>
              <w:pStyle w:val="48"/>
              <w:jc w:val="center"/>
              <w:rPr>
                <w:rFonts w:ascii="Calibri" w:eastAsia="宋体" w:cs="Times New Roman"/>
                <w:b/>
                <w:bCs/>
                <w:color w:val="auto"/>
                <w:kern w:val="2"/>
                <w:sz w:val="21"/>
                <w:szCs w:val="21"/>
              </w:rPr>
            </w:pPr>
            <w:r>
              <w:rPr>
                <w:rFonts w:hint="eastAsia" w:ascii="Calibri" w:eastAsia="宋体" w:cs="Times New Roman"/>
                <w:b/>
                <w:bCs/>
                <w:color w:val="auto"/>
                <w:kern w:val="2"/>
                <w:sz w:val="21"/>
                <w:szCs w:val="21"/>
              </w:rPr>
              <w:t>承销资质</w:t>
            </w:r>
          </w:p>
        </w:tc>
        <w:tc>
          <w:tcPr>
            <w:tcW w:w="5954" w:type="dxa"/>
            <w:tcBorders>
              <w:tl2br w:val="nil"/>
              <w:tr2bl w:val="nil"/>
            </w:tcBorders>
            <w:vAlign w:val="center"/>
          </w:tcPr>
          <w:p>
            <w:pPr>
              <w:pStyle w:val="48"/>
              <w:rPr>
                <w:rFonts w:ascii="宋体" w:hAnsi="宋体" w:eastAsia="宋体" w:cs="宋体"/>
                <w:color w:val="auto"/>
                <w:kern w:val="2"/>
                <w:sz w:val="21"/>
                <w:szCs w:val="22"/>
              </w:rPr>
            </w:pPr>
            <w:r>
              <w:rPr>
                <w:rFonts w:hint="eastAsia" w:ascii="宋体" w:hAnsi="宋体" w:eastAsia="宋体" w:cs="宋体"/>
                <w:color w:val="auto"/>
                <w:kern w:val="2"/>
                <w:sz w:val="21"/>
                <w:szCs w:val="22"/>
              </w:rPr>
              <w:t>根据2021年中国证监会对证券公司的监管分类评级，监管评级在A级（含）及以上5分，BBB级（含）以下且B级（含）以上</w:t>
            </w:r>
            <w:r>
              <w:rPr>
                <w:rFonts w:ascii="宋体" w:hAnsi="宋体" w:eastAsia="宋体" w:cs="宋体"/>
                <w:color w:val="auto"/>
                <w:kern w:val="2"/>
                <w:sz w:val="21"/>
                <w:szCs w:val="22"/>
              </w:rPr>
              <w:t>3</w:t>
            </w:r>
            <w:r>
              <w:rPr>
                <w:rFonts w:hint="eastAsia" w:ascii="宋体" w:hAnsi="宋体" w:eastAsia="宋体" w:cs="宋体"/>
                <w:color w:val="auto"/>
                <w:kern w:val="2"/>
                <w:sz w:val="21"/>
                <w:szCs w:val="22"/>
              </w:rPr>
              <w:t>分，其他得0分。</w:t>
            </w:r>
          </w:p>
          <w:p>
            <w:pPr>
              <w:pStyle w:val="48"/>
              <w:rPr>
                <w:rFonts w:ascii="宋体" w:hAnsi="宋体" w:eastAsia="宋体" w:cs="宋体"/>
                <w:color w:val="auto"/>
                <w:kern w:val="2"/>
                <w:sz w:val="21"/>
                <w:szCs w:val="22"/>
              </w:rPr>
            </w:pPr>
            <w:r>
              <w:rPr>
                <w:rFonts w:hint="eastAsia" w:ascii="宋体" w:hAnsi="宋体" w:eastAsia="宋体" w:cs="宋体"/>
                <w:color w:val="auto"/>
                <w:kern w:val="2"/>
                <w:sz w:val="21"/>
                <w:szCs w:val="22"/>
              </w:rPr>
              <w:t>注：以证监会网站截图为准</w:t>
            </w:r>
          </w:p>
        </w:tc>
        <w:tc>
          <w:tcPr>
            <w:tcW w:w="821" w:type="dxa"/>
            <w:tcBorders>
              <w:tl2br w:val="nil"/>
              <w:tr2bl w:val="nil"/>
            </w:tcBorders>
            <w:vAlign w:val="center"/>
          </w:tcPr>
          <w:p>
            <w:pPr>
              <w:pStyle w:val="48"/>
              <w:jc w:val="center"/>
              <w:rPr>
                <w:rFonts w:ascii="宋体" w:hAnsi="宋体" w:eastAsia="宋体" w:cs="宋体"/>
                <w:sz w:val="21"/>
                <w:szCs w:val="21"/>
              </w:rPr>
            </w:pPr>
            <w:r>
              <w:rPr>
                <w:rFonts w:hint="eastAsia" w:ascii="宋体" w:hAnsi="宋体" w:eastAsia="宋体" w:cs="宋体"/>
                <w:sz w:val="21"/>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jc w:val="center"/>
        </w:trPr>
        <w:tc>
          <w:tcPr>
            <w:tcW w:w="943" w:type="dxa"/>
            <w:vMerge w:val="continue"/>
            <w:tcBorders>
              <w:tl2br w:val="nil"/>
              <w:tr2bl w:val="nil"/>
            </w:tcBorders>
            <w:vAlign w:val="center"/>
          </w:tcPr>
          <w:p>
            <w:pPr>
              <w:pStyle w:val="48"/>
              <w:jc w:val="center"/>
              <w:rPr>
                <w:rFonts w:ascii="Calibri" w:eastAsia="宋体" w:cs="Times New Roman"/>
                <w:b/>
                <w:bCs/>
                <w:color w:val="auto"/>
                <w:kern w:val="2"/>
                <w:sz w:val="21"/>
                <w:szCs w:val="21"/>
              </w:rPr>
            </w:pPr>
          </w:p>
        </w:tc>
        <w:tc>
          <w:tcPr>
            <w:tcW w:w="1212" w:type="dxa"/>
            <w:tcBorders>
              <w:tl2br w:val="nil"/>
              <w:tr2bl w:val="nil"/>
            </w:tcBorders>
            <w:vAlign w:val="center"/>
          </w:tcPr>
          <w:p>
            <w:pPr>
              <w:pStyle w:val="48"/>
              <w:jc w:val="center"/>
              <w:rPr>
                <w:rFonts w:ascii="Calibri" w:eastAsia="宋体" w:cs="Times New Roman"/>
                <w:b/>
                <w:bCs/>
                <w:color w:val="auto"/>
                <w:kern w:val="2"/>
                <w:sz w:val="21"/>
                <w:szCs w:val="21"/>
              </w:rPr>
            </w:pPr>
            <w:r>
              <w:rPr>
                <w:rFonts w:hint="eastAsia" w:ascii="Calibri" w:eastAsia="宋体" w:cs="Times New Roman"/>
                <w:b/>
                <w:bCs/>
                <w:color w:val="auto"/>
                <w:kern w:val="2"/>
                <w:sz w:val="21"/>
                <w:szCs w:val="21"/>
                <w:highlight w:val="none"/>
              </w:rPr>
              <w:t>资产证券化产品管理业绩</w:t>
            </w:r>
          </w:p>
        </w:tc>
        <w:tc>
          <w:tcPr>
            <w:tcW w:w="5954" w:type="dxa"/>
            <w:tcBorders>
              <w:tl2br w:val="nil"/>
              <w:tr2bl w:val="nil"/>
            </w:tcBorders>
            <w:vAlign w:val="center"/>
          </w:tcPr>
          <w:p>
            <w:pPr>
              <w:pStyle w:val="48"/>
              <w:rPr>
                <w:rFonts w:ascii="宋体" w:hAnsi="宋体" w:eastAsia="宋体" w:cs="宋体"/>
                <w:color w:val="auto"/>
                <w:kern w:val="2"/>
                <w:sz w:val="21"/>
                <w:szCs w:val="22"/>
                <w:highlight w:val="none"/>
              </w:rPr>
            </w:pPr>
            <w:r>
              <w:rPr>
                <w:rFonts w:hint="eastAsia" w:ascii="宋体" w:hAnsi="宋体" w:eastAsia="宋体" w:cs="宋体"/>
                <w:color w:val="auto"/>
                <w:kern w:val="2"/>
                <w:sz w:val="21"/>
                <w:szCs w:val="22"/>
                <w:highlight w:val="none"/>
              </w:rPr>
              <w:t>在</w:t>
            </w:r>
            <w:r>
              <w:rPr>
                <w:rFonts w:ascii="宋体" w:hAnsi="宋体" w:eastAsia="宋体" w:cs="宋体"/>
                <w:color w:val="auto"/>
                <w:kern w:val="2"/>
                <w:sz w:val="21"/>
                <w:szCs w:val="22"/>
                <w:highlight w:val="none"/>
              </w:rPr>
              <w:t>2020</w:t>
            </w:r>
            <w:r>
              <w:rPr>
                <w:rFonts w:hint="eastAsia" w:ascii="宋体" w:hAnsi="宋体" w:eastAsia="宋体" w:cs="宋体"/>
                <w:color w:val="auto"/>
                <w:kern w:val="2"/>
                <w:sz w:val="21"/>
                <w:szCs w:val="22"/>
                <w:highlight w:val="none"/>
              </w:rPr>
              <w:t>年1月1日至202</w:t>
            </w:r>
            <w:r>
              <w:rPr>
                <w:rFonts w:ascii="宋体" w:hAnsi="宋体" w:eastAsia="宋体" w:cs="宋体"/>
                <w:color w:val="auto"/>
                <w:kern w:val="2"/>
                <w:sz w:val="21"/>
                <w:szCs w:val="22"/>
                <w:highlight w:val="none"/>
              </w:rPr>
              <w:t>2</w:t>
            </w:r>
            <w:r>
              <w:rPr>
                <w:rFonts w:hint="eastAsia" w:ascii="宋体" w:hAnsi="宋体" w:eastAsia="宋体" w:cs="宋体"/>
                <w:color w:val="auto"/>
                <w:kern w:val="2"/>
                <w:sz w:val="21"/>
                <w:szCs w:val="22"/>
                <w:highlight w:val="none"/>
              </w:rPr>
              <w:t>年12月31日之间，作为计划管理人参与企业资产证券化产品管理的金额，评分标准：管理规模超过（含）</w:t>
            </w:r>
            <w:r>
              <w:rPr>
                <w:rFonts w:ascii="宋体" w:hAnsi="宋体" w:eastAsia="宋体" w:cs="宋体"/>
                <w:color w:val="auto"/>
                <w:kern w:val="2"/>
                <w:sz w:val="21"/>
                <w:szCs w:val="22"/>
                <w:highlight w:val="none"/>
              </w:rPr>
              <w:t>9</w:t>
            </w:r>
            <w:r>
              <w:rPr>
                <w:rFonts w:hint="eastAsia" w:ascii="宋体" w:hAnsi="宋体" w:eastAsia="宋体" w:cs="宋体"/>
                <w:color w:val="auto"/>
                <w:kern w:val="2"/>
                <w:sz w:val="21"/>
                <w:szCs w:val="22"/>
                <w:highlight w:val="none"/>
              </w:rPr>
              <w:t>00亿元得15分；</w:t>
            </w:r>
            <w:r>
              <w:rPr>
                <w:rFonts w:ascii="宋体" w:hAnsi="宋体" w:eastAsia="宋体" w:cs="宋体"/>
                <w:color w:val="auto"/>
                <w:kern w:val="2"/>
                <w:sz w:val="21"/>
                <w:szCs w:val="22"/>
                <w:highlight w:val="none"/>
              </w:rPr>
              <w:t>600</w:t>
            </w:r>
            <w:r>
              <w:rPr>
                <w:rFonts w:hint="eastAsia" w:ascii="宋体" w:hAnsi="宋体" w:eastAsia="宋体" w:cs="宋体"/>
                <w:color w:val="auto"/>
                <w:kern w:val="2"/>
                <w:sz w:val="21"/>
                <w:szCs w:val="22"/>
                <w:highlight w:val="none"/>
              </w:rPr>
              <w:t>（含）</w:t>
            </w:r>
            <w:r>
              <w:rPr>
                <w:rFonts w:ascii="宋体" w:hAnsi="宋体" w:eastAsia="宋体" w:cs="宋体"/>
                <w:color w:val="auto"/>
                <w:kern w:val="2"/>
                <w:sz w:val="21"/>
                <w:szCs w:val="22"/>
                <w:highlight w:val="none"/>
              </w:rPr>
              <w:t>-900</w:t>
            </w:r>
            <w:r>
              <w:rPr>
                <w:rFonts w:hint="eastAsia" w:ascii="宋体" w:hAnsi="宋体" w:eastAsia="宋体" w:cs="宋体"/>
                <w:color w:val="auto"/>
                <w:kern w:val="2"/>
                <w:sz w:val="21"/>
                <w:szCs w:val="22"/>
                <w:highlight w:val="none"/>
              </w:rPr>
              <w:t>（不含）亿元得</w:t>
            </w:r>
            <w:r>
              <w:rPr>
                <w:rFonts w:ascii="宋体" w:hAnsi="宋体" w:eastAsia="宋体" w:cs="宋体"/>
                <w:color w:val="auto"/>
                <w:kern w:val="2"/>
                <w:sz w:val="21"/>
                <w:szCs w:val="22"/>
                <w:highlight w:val="none"/>
              </w:rPr>
              <w:t>10</w:t>
            </w:r>
            <w:r>
              <w:rPr>
                <w:rFonts w:hint="eastAsia" w:ascii="宋体" w:hAnsi="宋体" w:eastAsia="宋体" w:cs="宋体"/>
                <w:color w:val="auto"/>
                <w:kern w:val="2"/>
                <w:sz w:val="21"/>
                <w:szCs w:val="22"/>
                <w:highlight w:val="none"/>
              </w:rPr>
              <w:t>分；</w:t>
            </w:r>
            <w:r>
              <w:rPr>
                <w:rFonts w:ascii="宋体" w:hAnsi="宋体" w:eastAsia="宋体" w:cs="宋体"/>
                <w:color w:val="auto"/>
                <w:kern w:val="2"/>
                <w:sz w:val="21"/>
                <w:szCs w:val="22"/>
                <w:highlight w:val="none"/>
              </w:rPr>
              <w:t>6</w:t>
            </w:r>
            <w:r>
              <w:rPr>
                <w:rFonts w:hint="eastAsia" w:ascii="宋体" w:hAnsi="宋体" w:eastAsia="宋体" w:cs="宋体"/>
                <w:color w:val="auto"/>
                <w:kern w:val="2"/>
                <w:sz w:val="21"/>
                <w:szCs w:val="22"/>
                <w:highlight w:val="none"/>
              </w:rPr>
              <w:t>00（不含）亿元以下不得分。</w:t>
            </w:r>
          </w:p>
          <w:p>
            <w:pPr>
              <w:pStyle w:val="48"/>
              <w:jc w:val="both"/>
              <w:rPr>
                <w:rFonts w:ascii="宋体" w:hAnsi="宋体" w:eastAsia="宋体" w:cs="宋体"/>
                <w:color w:val="auto"/>
                <w:kern w:val="2"/>
                <w:sz w:val="21"/>
                <w:szCs w:val="22"/>
              </w:rPr>
            </w:pPr>
            <w:r>
              <w:rPr>
                <w:rFonts w:hint="eastAsia" w:ascii="宋体" w:hAnsi="宋体" w:eastAsia="宋体" w:cs="宋体"/>
                <w:color w:val="auto"/>
                <w:kern w:val="2"/>
                <w:sz w:val="21"/>
                <w:szCs w:val="22"/>
                <w:highlight w:val="none"/>
              </w:rPr>
              <w:t>注：以WIND系统查询统计截屏为准（具体截图方式：WIND-选择债券专题-选择企业ABS统计-选择计划管理人统计-选择期间（20</w:t>
            </w:r>
            <w:r>
              <w:rPr>
                <w:rFonts w:ascii="宋体" w:hAnsi="宋体" w:eastAsia="宋体" w:cs="宋体"/>
                <w:color w:val="auto"/>
                <w:kern w:val="2"/>
                <w:sz w:val="21"/>
                <w:szCs w:val="22"/>
                <w:highlight w:val="none"/>
              </w:rPr>
              <w:t>20</w:t>
            </w:r>
            <w:r>
              <w:rPr>
                <w:rFonts w:hint="eastAsia" w:ascii="宋体" w:hAnsi="宋体" w:eastAsia="宋体" w:cs="宋体"/>
                <w:color w:val="auto"/>
                <w:kern w:val="2"/>
                <w:sz w:val="21"/>
                <w:szCs w:val="22"/>
                <w:highlight w:val="none"/>
              </w:rPr>
              <w:t>年-</w:t>
            </w:r>
            <w:r>
              <w:rPr>
                <w:rFonts w:ascii="宋体" w:hAnsi="宋体" w:eastAsia="宋体" w:cs="宋体"/>
                <w:color w:val="auto"/>
                <w:kern w:val="2"/>
                <w:sz w:val="21"/>
                <w:szCs w:val="22"/>
                <w:highlight w:val="none"/>
              </w:rPr>
              <w:t>2022</w:t>
            </w:r>
            <w:r>
              <w:rPr>
                <w:rFonts w:hint="eastAsia" w:ascii="宋体" w:hAnsi="宋体" w:eastAsia="宋体" w:cs="宋体"/>
                <w:color w:val="auto"/>
                <w:kern w:val="2"/>
                <w:sz w:val="21"/>
                <w:szCs w:val="22"/>
                <w:highlight w:val="none"/>
              </w:rPr>
              <w:t>年）</w:t>
            </w:r>
          </w:p>
        </w:tc>
        <w:tc>
          <w:tcPr>
            <w:tcW w:w="821" w:type="dxa"/>
            <w:tcBorders>
              <w:tl2br w:val="nil"/>
              <w:tr2bl w:val="nil"/>
            </w:tcBorders>
            <w:vAlign w:val="center"/>
          </w:tcPr>
          <w:p>
            <w:pPr>
              <w:pStyle w:val="48"/>
              <w:jc w:val="center"/>
              <w:rPr>
                <w:rFonts w:ascii="Times New Roman" w:hAnsi="Times New Roman"/>
                <w:sz w:val="21"/>
                <w:szCs w:val="21"/>
              </w:rPr>
            </w:pPr>
            <w:r>
              <w:rPr>
                <w:rFonts w:hint="eastAsia" w:ascii="宋体" w:hAnsi="宋体" w:eastAsia="宋体" w:cs="宋体"/>
                <w:color w:val="24282C"/>
                <w:sz w:val="21"/>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943" w:type="dxa"/>
            <w:vMerge w:val="continue"/>
            <w:tcBorders>
              <w:tl2br w:val="nil"/>
              <w:tr2bl w:val="nil"/>
            </w:tcBorders>
            <w:vAlign w:val="center"/>
          </w:tcPr>
          <w:p>
            <w:pPr>
              <w:pStyle w:val="48"/>
              <w:jc w:val="center"/>
              <w:rPr>
                <w:rFonts w:ascii="Calibri" w:eastAsia="宋体" w:cs="Times New Roman"/>
                <w:b/>
                <w:bCs/>
                <w:color w:val="auto"/>
                <w:kern w:val="2"/>
                <w:sz w:val="21"/>
                <w:szCs w:val="21"/>
              </w:rPr>
            </w:pPr>
          </w:p>
        </w:tc>
        <w:tc>
          <w:tcPr>
            <w:tcW w:w="1212" w:type="dxa"/>
            <w:tcBorders>
              <w:tl2br w:val="nil"/>
              <w:tr2bl w:val="nil"/>
            </w:tcBorders>
            <w:vAlign w:val="center"/>
          </w:tcPr>
          <w:p>
            <w:pPr>
              <w:pStyle w:val="48"/>
              <w:jc w:val="center"/>
              <w:rPr>
                <w:rFonts w:ascii="Calibri" w:eastAsia="宋体" w:cs="Times New Roman"/>
                <w:b/>
                <w:bCs/>
                <w:color w:val="auto"/>
                <w:kern w:val="2"/>
                <w:sz w:val="21"/>
                <w:szCs w:val="21"/>
              </w:rPr>
            </w:pPr>
            <w:r>
              <w:rPr>
                <w:rFonts w:hint="eastAsia" w:ascii="Calibri" w:eastAsia="宋体" w:cs="Times New Roman"/>
                <w:b/>
                <w:bCs/>
                <w:color w:val="auto"/>
                <w:kern w:val="2"/>
                <w:sz w:val="21"/>
                <w:szCs w:val="21"/>
                <w:highlight w:val="none"/>
              </w:rPr>
              <w:t>河南地区供应链ABS产品承销业绩</w:t>
            </w:r>
          </w:p>
        </w:tc>
        <w:tc>
          <w:tcPr>
            <w:tcW w:w="5954" w:type="dxa"/>
            <w:tcBorders>
              <w:tl2br w:val="nil"/>
              <w:tr2bl w:val="nil"/>
            </w:tcBorders>
            <w:vAlign w:val="center"/>
          </w:tcPr>
          <w:p>
            <w:pPr>
              <w:pStyle w:val="48"/>
              <w:rPr>
                <w:rFonts w:ascii="宋体" w:hAnsi="宋体" w:eastAsia="宋体" w:cs="宋体"/>
                <w:color w:val="auto"/>
                <w:kern w:val="2"/>
                <w:sz w:val="21"/>
                <w:szCs w:val="22"/>
              </w:rPr>
            </w:pPr>
            <w:r>
              <w:rPr>
                <w:rFonts w:hint="eastAsia" w:ascii="宋体" w:hAnsi="宋体" w:eastAsia="宋体" w:cs="宋体"/>
                <w:color w:val="auto"/>
                <w:kern w:val="2"/>
                <w:sz w:val="21"/>
                <w:szCs w:val="22"/>
                <w:highlight w:val="none"/>
              </w:rPr>
              <w:t>2</w:t>
            </w:r>
            <w:r>
              <w:rPr>
                <w:rFonts w:ascii="宋体" w:hAnsi="宋体" w:eastAsia="宋体" w:cs="宋体"/>
                <w:color w:val="auto"/>
                <w:kern w:val="2"/>
                <w:sz w:val="21"/>
                <w:szCs w:val="22"/>
                <w:highlight w:val="none"/>
              </w:rPr>
              <w:t>020</w:t>
            </w:r>
            <w:r>
              <w:rPr>
                <w:rFonts w:hint="eastAsia" w:ascii="宋体" w:hAnsi="宋体" w:eastAsia="宋体" w:cs="宋体"/>
                <w:color w:val="auto"/>
                <w:kern w:val="2"/>
                <w:sz w:val="21"/>
                <w:szCs w:val="22"/>
                <w:highlight w:val="none"/>
              </w:rPr>
              <w:t>年至今，作为计划管理人为河南省区域客户成功发行供应链ABS产品的得1</w:t>
            </w:r>
            <w:r>
              <w:rPr>
                <w:rFonts w:ascii="宋体" w:hAnsi="宋体" w:eastAsia="宋体" w:cs="宋体"/>
                <w:color w:val="auto"/>
                <w:kern w:val="2"/>
                <w:sz w:val="21"/>
                <w:szCs w:val="22"/>
                <w:highlight w:val="none"/>
              </w:rPr>
              <w:t>5</w:t>
            </w:r>
            <w:r>
              <w:rPr>
                <w:rFonts w:hint="eastAsia" w:ascii="宋体" w:hAnsi="宋体" w:eastAsia="宋体" w:cs="宋体"/>
                <w:color w:val="auto"/>
                <w:kern w:val="2"/>
                <w:sz w:val="21"/>
                <w:szCs w:val="22"/>
                <w:highlight w:val="none"/>
              </w:rPr>
              <w:t>分，否则得0分。</w:t>
            </w:r>
          </w:p>
        </w:tc>
        <w:tc>
          <w:tcPr>
            <w:tcW w:w="821" w:type="dxa"/>
            <w:tcBorders>
              <w:tl2br w:val="nil"/>
              <w:tr2bl w:val="nil"/>
            </w:tcBorders>
            <w:vAlign w:val="center"/>
          </w:tcPr>
          <w:p>
            <w:pPr>
              <w:widowControl/>
              <w:spacing w:line="500" w:lineRule="exact"/>
              <w:jc w:val="center"/>
              <w:rPr>
                <w:rFonts w:ascii="Times New Roman" w:hAnsi="Times New Roman"/>
                <w:color w:val="000000"/>
                <w:kern w:val="0"/>
                <w:szCs w:val="21"/>
              </w:rPr>
            </w:pPr>
            <w:r>
              <w:rPr>
                <w:rFonts w:hint="eastAsia" w:ascii="宋体" w:hAnsi="宋体" w:cs="宋体"/>
                <w:color w:val="000000"/>
                <w:kern w:val="0"/>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4"/>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w:t>
            </w:r>
            <w:r>
              <w:rPr>
                <w:rFonts w:hint="eastAsia" w:ascii="Times New Roman" w:hAnsi="Times New Roman"/>
                <w:color w:val="000000"/>
                <w:kern w:val="0"/>
                <w:szCs w:val="21"/>
              </w:rPr>
              <w:t>因素</w:t>
            </w:r>
            <w:r>
              <w:rPr>
                <w:rFonts w:ascii="Times New Roman" w:hAnsi="Times New Roman"/>
                <w:color w:val="000000"/>
                <w:kern w:val="0"/>
                <w:szCs w:val="21"/>
              </w:rPr>
              <w:t>+</w:t>
            </w:r>
            <w:r>
              <w:rPr>
                <w:rFonts w:hint="eastAsia" w:ascii="Times New Roman" w:hAnsi="Times New Roman"/>
                <w:color w:val="000000"/>
                <w:kern w:val="0"/>
                <w:szCs w:val="21"/>
              </w:rPr>
              <w:t>保理公司</w:t>
            </w:r>
            <w:r>
              <w:rPr>
                <w:rFonts w:ascii="Times New Roman" w:hAnsi="Times New Roman"/>
                <w:color w:val="000000"/>
                <w:kern w:val="0"/>
                <w:szCs w:val="21"/>
              </w:rPr>
              <w:t>+</w:t>
            </w:r>
            <w:r>
              <w:rPr>
                <w:rFonts w:hint="eastAsia" w:ascii="Times New Roman" w:hAnsi="Times New Roman"/>
                <w:color w:val="000000"/>
                <w:kern w:val="0"/>
                <w:szCs w:val="21"/>
              </w:rPr>
              <w:t>券商</w:t>
            </w:r>
          </w:p>
        </w:tc>
      </w:tr>
    </w:tbl>
    <w:p>
      <w:pPr>
        <w:pStyle w:val="2"/>
        <w:rPr>
          <w:rFonts w:ascii="仿宋_GB2312" w:hAnsi="仿宋" w:eastAsia="仿宋_GB2312"/>
        </w:rPr>
      </w:pPr>
    </w:p>
    <w:p>
      <w:pPr>
        <w:pStyle w:val="2"/>
        <w:rPr>
          <w:rFonts w:ascii="仿宋_GB2312" w:hAnsi="仿宋" w:eastAsia="仿宋_GB2312"/>
        </w:rPr>
        <w:sectPr>
          <w:pgSz w:w="11906" w:h="16838"/>
          <w:pgMar w:top="1440" w:right="1800" w:bottom="1440" w:left="1800" w:header="851" w:footer="992" w:gutter="0"/>
          <w:cols w:space="720" w:num="1"/>
          <w:docGrid w:type="lines" w:linePitch="312" w:charSpace="0"/>
        </w:sectPr>
      </w:pP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(一)投标申请人和招标人之间与招标有关的所有往来通知、函件和投标申请文件均应采用中文。</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(二)投标申请人应根据本投标文件的规定提交投标申请文件及相关资料。</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(三)投标申请人所提交的投标申请文件应至少包括第五章投标申请文件格式要求的相关资料。</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四)投标申请文件应打印或用不褪色的黑色墨水书写。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二、投标申请文件组成及编制要求</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(一)投标申请文件需按下列顺序装订：</w:t>
      </w:r>
    </w:p>
    <w:p>
      <w:pPr>
        <w:autoSpaceDE w:val="0"/>
        <w:autoSpaceDN w:val="0"/>
        <w:adjustRightInd w:val="0"/>
        <w:spacing w:line="600" w:lineRule="exact"/>
        <w:ind w:firstLine="602" w:firstLineChars="200"/>
        <w:rPr>
          <w:rFonts w:ascii="仿宋" w:hAnsi="仿宋" w:eastAsia="仿宋" w:cs="仿宋_GB2312"/>
          <w:b/>
          <w:bCs/>
          <w:kern w:val="0"/>
          <w:sz w:val="30"/>
          <w:szCs w:val="30"/>
        </w:rPr>
      </w:pPr>
      <w:r>
        <w:rPr>
          <w:rFonts w:hint="eastAsia" w:ascii="仿宋" w:hAnsi="仿宋" w:eastAsia="仿宋" w:cs="仿宋_GB2312"/>
          <w:b/>
          <w:bCs/>
          <w:kern w:val="0"/>
          <w:sz w:val="30"/>
          <w:szCs w:val="30"/>
        </w:rPr>
        <w:t>联合体牵头方——保理公司</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spacing w:line="360" w:lineRule="auto"/>
        <w:ind w:firstLine="600" w:firstLineChars="200"/>
        <w:rPr>
          <w:rFonts w:ascii="仿宋" w:hAnsi="仿宋" w:eastAsia="仿宋" w:cs="仿宋"/>
          <w:sz w:val="30"/>
          <w:szCs w:val="30"/>
        </w:rPr>
      </w:pPr>
      <w:r>
        <w:rPr>
          <w:rFonts w:ascii="仿宋" w:hAnsi="仿宋" w:eastAsia="仿宋" w:cs="仿宋"/>
          <w:sz w:val="30"/>
          <w:szCs w:val="30"/>
        </w:rPr>
        <w:t>7</w:t>
      </w:r>
      <w:r>
        <w:rPr>
          <w:rFonts w:hint="eastAsia" w:ascii="仿宋" w:hAnsi="仿宋" w:eastAsia="仿宋" w:cs="仿宋"/>
          <w:sz w:val="30"/>
          <w:szCs w:val="30"/>
        </w:rPr>
        <w:t>、拟投入本项目人员汇总表</w:t>
      </w:r>
    </w:p>
    <w:p>
      <w:pPr>
        <w:autoSpaceDE w:val="0"/>
        <w:autoSpaceDN w:val="0"/>
        <w:adjustRightInd w:val="0"/>
        <w:spacing w:line="360" w:lineRule="auto"/>
        <w:ind w:firstLine="600" w:firstLineChars="200"/>
        <w:rPr>
          <w:rFonts w:ascii="仿宋" w:hAnsi="仿宋" w:eastAsia="仿宋" w:cs="仿宋"/>
          <w:kern w:val="0"/>
          <w:sz w:val="30"/>
          <w:szCs w:val="30"/>
        </w:rPr>
      </w:pPr>
      <w:r>
        <w:rPr>
          <w:rFonts w:ascii="仿宋" w:hAnsi="仿宋" w:eastAsia="仿宋" w:cs="仿宋"/>
          <w:kern w:val="0"/>
          <w:sz w:val="30"/>
          <w:szCs w:val="30"/>
        </w:rPr>
        <w:t>8</w:t>
      </w:r>
      <w:r>
        <w:rPr>
          <w:rFonts w:hint="eastAsia" w:ascii="仿宋" w:hAnsi="仿宋" w:eastAsia="仿宋" w:cs="仿宋"/>
          <w:kern w:val="0"/>
          <w:sz w:val="30"/>
          <w:szCs w:val="30"/>
        </w:rPr>
        <w:t>、本次ABS产品服务方案（联合体牵头方）</w:t>
      </w:r>
    </w:p>
    <w:p>
      <w:pPr>
        <w:autoSpaceDE w:val="0"/>
        <w:autoSpaceDN w:val="0"/>
        <w:adjustRightInd w:val="0"/>
        <w:spacing w:line="600" w:lineRule="exact"/>
        <w:ind w:firstLine="602" w:firstLineChars="200"/>
        <w:rPr>
          <w:rFonts w:ascii="仿宋" w:hAnsi="仿宋" w:eastAsia="仿宋" w:cs="仿宋_GB2312"/>
          <w:b/>
          <w:bCs/>
          <w:kern w:val="0"/>
          <w:sz w:val="30"/>
          <w:szCs w:val="30"/>
        </w:rPr>
      </w:pPr>
      <w:r>
        <w:rPr>
          <w:rFonts w:hint="eastAsia" w:ascii="仿宋" w:hAnsi="仿宋" w:eastAsia="仿宋" w:cs="仿宋_GB2312"/>
          <w:b/>
          <w:bCs/>
          <w:kern w:val="0"/>
          <w:sz w:val="30"/>
          <w:szCs w:val="30"/>
        </w:rPr>
        <w:t>联合体成员——券商</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rPr>
          <w:rFonts w:ascii="仿宋" w:hAnsi="仿宋" w:eastAsia="仿宋"/>
          <w:bCs/>
          <w:color w:val="0E1014"/>
          <w:kern w:val="0"/>
          <w:sz w:val="32"/>
          <w:szCs w:val="32"/>
        </w:rPr>
      </w:pPr>
      <w:r>
        <w:rPr>
          <w:rFonts w:hint="eastAsia" w:ascii="仿宋" w:hAnsi="仿宋" w:eastAsia="仿宋" w:cs="仿宋_GB2312"/>
          <w:kern w:val="0"/>
          <w:sz w:val="30"/>
          <w:szCs w:val="30"/>
        </w:rPr>
        <w:t>2、</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rPr>
          <w:rFonts w:ascii="仿宋" w:hAnsi="仿宋" w:eastAsia="仿宋" w:cs="仿宋_GB2312"/>
          <w:kern w:val="0"/>
          <w:sz w:val="30"/>
          <w:szCs w:val="30"/>
        </w:rPr>
      </w:pPr>
      <w:r>
        <w:rPr>
          <w:rFonts w:hint="eastAsia" w:ascii="仿宋" w:hAnsi="仿宋" w:eastAsia="仿宋" w:cs="仿宋_GB2312"/>
          <w:kern w:val="0"/>
          <w:sz w:val="30"/>
          <w:szCs w:val="30"/>
        </w:rPr>
        <w:t xml:space="preserve">    </w:t>
      </w:r>
      <w:r>
        <w:rPr>
          <w:rFonts w:ascii="仿宋" w:hAnsi="仿宋" w:eastAsia="仿宋" w:cs="仿宋_GB2312"/>
          <w:kern w:val="0"/>
          <w:sz w:val="30"/>
          <w:szCs w:val="30"/>
        </w:rPr>
        <w:t>3</w:t>
      </w:r>
      <w:r>
        <w:rPr>
          <w:rFonts w:hint="eastAsia" w:ascii="仿宋" w:hAnsi="仿宋" w:eastAsia="仿宋" w:cs="仿宋_GB2312"/>
          <w:kern w:val="0"/>
          <w:sz w:val="30"/>
          <w:szCs w:val="30"/>
        </w:rPr>
        <w:t>、介绍信</w:t>
      </w:r>
    </w:p>
    <w:p>
      <w:pPr>
        <w:spacing w:line="600" w:lineRule="exact"/>
        <w:ind w:firstLine="600" w:firstLineChars="200"/>
        <w:rPr>
          <w:rFonts w:ascii="仿宋" w:hAnsi="仿宋" w:eastAsia="仿宋" w:cs="仿宋_GB2312"/>
          <w:kern w:val="0"/>
          <w:sz w:val="30"/>
          <w:szCs w:val="30"/>
        </w:rPr>
      </w:pPr>
      <w:r>
        <w:rPr>
          <w:rFonts w:ascii="仿宋" w:hAnsi="仿宋" w:eastAsia="仿宋" w:cs="仿宋_GB2312"/>
          <w:kern w:val="0"/>
          <w:sz w:val="30"/>
          <w:szCs w:val="30"/>
        </w:rPr>
        <w:t>4</w:t>
      </w:r>
      <w:r>
        <w:rPr>
          <w:rFonts w:hint="eastAsia" w:ascii="仿宋" w:hAnsi="仿宋" w:eastAsia="仿宋" w:cs="仿宋_GB2312"/>
          <w:kern w:val="0"/>
          <w:sz w:val="30"/>
          <w:szCs w:val="30"/>
        </w:rPr>
        <w:t>、投标人廉政承诺书</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ascii="仿宋" w:hAnsi="仿宋" w:eastAsia="仿宋" w:cs="仿宋_GB2312"/>
          <w:kern w:val="0"/>
          <w:sz w:val="30"/>
          <w:szCs w:val="30"/>
        </w:rPr>
        <w:t>5</w:t>
      </w:r>
      <w:r>
        <w:rPr>
          <w:rFonts w:hint="eastAsia" w:ascii="仿宋" w:hAnsi="仿宋" w:eastAsia="仿宋" w:cs="仿宋_GB2312"/>
          <w:kern w:val="0"/>
          <w:sz w:val="30"/>
          <w:szCs w:val="30"/>
        </w:rPr>
        <w:t>、申请人基本情况一览表</w:t>
      </w:r>
    </w:p>
    <w:p>
      <w:pPr>
        <w:spacing w:line="360" w:lineRule="auto"/>
        <w:ind w:firstLine="600" w:firstLineChars="200"/>
        <w:rPr>
          <w:rFonts w:ascii="仿宋" w:hAnsi="仿宋" w:eastAsia="仿宋" w:cs="仿宋"/>
          <w:sz w:val="30"/>
          <w:szCs w:val="30"/>
        </w:rPr>
      </w:pPr>
      <w:r>
        <w:rPr>
          <w:rFonts w:ascii="仿宋" w:hAnsi="仿宋" w:eastAsia="仿宋" w:cs="仿宋"/>
          <w:sz w:val="30"/>
          <w:szCs w:val="30"/>
        </w:rPr>
        <w:t>6</w:t>
      </w:r>
      <w:r>
        <w:rPr>
          <w:rFonts w:hint="eastAsia" w:ascii="仿宋" w:hAnsi="仿宋" w:eastAsia="仿宋" w:cs="仿宋"/>
          <w:sz w:val="30"/>
          <w:szCs w:val="30"/>
        </w:rPr>
        <w:t>、项目经理基本情况表</w:t>
      </w:r>
    </w:p>
    <w:p>
      <w:pPr>
        <w:spacing w:line="360" w:lineRule="auto"/>
        <w:ind w:firstLine="600" w:firstLineChars="200"/>
        <w:rPr>
          <w:rFonts w:ascii="仿宋" w:hAnsi="仿宋" w:eastAsia="仿宋" w:cs="仿宋"/>
          <w:sz w:val="30"/>
          <w:szCs w:val="30"/>
        </w:rPr>
      </w:pPr>
      <w:r>
        <w:rPr>
          <w:rFonts w:ascii="仿宋" w:hAnsi="仿宋" w:eastAsia="仿宋" w:cs="仿宋"/>
          <w:sz w:val="30"/>
          <w:szCs w:val="30"/>
        </w:rPr>
        <w:t>7</w:t>
      </w:r>
      <w:r>
        <w:rPr>
          <w:rFonts w:hint="eastAsia" w:ascii="仿宋" w:hAnsi="仿宋" w:eastAsia="仿宋" w:cs="仿宋"/>
          <w:sz w:val="30"/>
          <w:szCs w:val="30"/>
        </w:rPr>
        <w:t>、拟投入项目主要人员简历表</w:t>
      </w:r>
    </w:p>
    <w:p>
      <w:pPr>
        <w:spacing w:line="360" w:lineRule="auto"/>
        <w:ind w:firstLine="600" w:firstLineChars="200"/>
        <w:rPr>
          <w:rFonts w:ascii="仿宋" w:hAnsi="仿宋" w:eastAsia="仿宋" w:cs="仿宋"/>
          <w:sz w:val="30"/>
          <w:szCs w:val="30"/>
        </w:rPr>
      </w:pPr>
      <w:r>
        <w:rPr>
          <w:rFonts w:ascii="仿宋" w:hAnsi="仿宋" w:eastAsia="仿宋" w:cs="仿宋"/>
          <w:sz w:val="30"/>
          <w:szCs w:val="30"/>
        </w:rPr>
        <w:t>8</w:t>
      </w:r>
      <w:r>
        <w:rPr>
          <w:rFonts w:hint="eastAsia" w:ascii="仿宋" w:hAnsi="仿宋" w:eastAsia="仿宋" w:cs="仿宋"/>
          <w:sz w:val="30"/>
          <w:szCs w:val="30"/>
        </w:rPr>
        <w:t>、拟投入本项目人员汇总表</w:t>
      </w:r>
    </w:p>
    <w:p>
      <w:pPr>
        <w:autoSpaceDE w:val="0"/>
        <w:autoSpaceDN w:val="0"/>
        <w:adjustRightInd w:val="0"/>
        <w:spacing w:line="360" w:lineRule="auto"/>
        <w:ind w:firstLine="600" w:firstLineChars="200"/>
        <w:rPr>
          <w:rFonts w:ascii="仿宋" w:hAnsi="仿宋" w:eastAsia="仿宋" w:cs="仿宋"/>
          <w:kern w:val="0"/>
          <w:sz w:val="30"/>
          <w:szCs w:val="30"/>
        </w:rPr>
      </w:pPr>
      <w:r>
        <w:rPr>
          <w:rFonts w:ascii="仿宋" w:hAnsi="仿宋" w:eastAsia="仿宋" w:cs="仿宋"/>
          <w:kern w:val="0"/>
          <w:sz w:val="30"/>
          <w:szCs w:val="30"/>
        </w:rPr>
        <w:t>9</w:t>
      </w:r>
      <w:r>
        <w:rPr>
          <w:rFonts w:hint="eastAsia" w:ascii="仿宋" w:hAnsi="仿宋" w:eastAsia="仿宋" w:cs="仿宋"/>
          <w:kern w:val="0"/>
          <w:sz w:val="30"/>
          <w:szCs w:val="30"/>
        </w:rPr>
        <w:t>、本次ABS产品发行方案（联合体成员）</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三、投标申请文件的密封和提交</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(一)投标申请文件要求递交正本1份，副本8份，含投标文件所有内容的电子文档一份。</w:t>
      </w:r>
    </w:p>
    <w:p>
      <w:pPr>
        <w:autoSpaceDE w:val="0"/>
        <w:autoSpaceDN w:val="0"/>
        <w:adjustRightInd w:val="0"/>
        <w:spacing w:line="600" w:lineRule="exact"/>
        <w:ind w:firstLine="600" w:firstLineChars="200"/>
        <w:rPr>
          <w:rFonts w:hint="eastAsia" w:ascii="仿宋" w:hAnsi="仿宋" w:eastAsia="仿宋" w:cs="仿宋_GB2312"/>
          <w:color w:val="000000" w:themeColor="text1"/>
          <w:kern w:val="0"/>
          <w:sz w:val="30"/>
          <w:szCs w:val="30"/>
          <w:highlight w:val="none"/>
          <w:lang w:eastAsia="zh-CN"/>
          <w14:textFill>
            <w14:solidFill>
              <w14:schemeClr w14:val="tx1"/>
            </w14:solidFill>
          </w14:textFill>
        </w:rPr>
      </w:pPr>
      <w:r>
        <w:rPr>
          <w:rFonts w:hint="eastAsia" w:ascii="仿宋" w:hAnsi="仿宋" w:eastAsia="仿宋" w:cs="仿宋_GB2312"/>
          <w:color w:val="000000" w:themeColor="text1"/>
          <w:kern w:val="0"/>
          <w:sz w:val="30"/>
          <w:szCs w:val="30"/>
          <w:highlight w:val="none"/>
          <w14:textFill>
            <w14:solidFill>
              <w14:schemeClr w14:val="tx1"/>
            </w14:solidFill>
          </w14:textFill>
        </w:rPr>
        <w:t>1、投标申请文件均应装订成册</w:t>
      </w:r>
      <w:r>
        <w:rPr>
          <w:rFonts w:hint="eastAsia" w:ascii="仿宋" w:hAnsi="仿宋" w:eastAsia="仿宋" w:cs="仿宋_GB2312"/>
          <w:color w:val="000000" w:themeColor="text1"/>
          <w:kern w:val="0"/>
          <w:sz w:val="30"/>
          <w:szCs w:val="30"/>
          <w:highlight w:val="none"/>
          <w:lang w:eastAsia="zh-CN"/>
          <w14:textFill>
            <w14:solidFill>
              <w14:schemeClr w14:val="tx1"/>
            </w14:solidFill>
          </w14:textFill>
        </w:rPr>
        <w:t>。</w:t>
      </w:r>
    </w:p>
    <w:p>
      <w:pPr>
        <w:autoSpaceDE w:val="0"/>
        <w:autoSpaceDN w:val="0"/>
        <w:adjustRightInd w:val="0"/>
        <w:spacing w:line="600" w:lineRule="exact"/>
        <w:ind w:firstLine="600" w:firstLineChars="200"/>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highlight w:val="none"/>
          <w14:textFill>
            <w14:solidFill>
              <w14:schemeClr w14:val="tx1"/>
            </w14:solidFill>
          </w14:textFill>
        </w:rPr>
        <w:t>2、投标申请文件应封装在密封袋中，联合体牵头方与联合体成员投标申请文件封装在同一密封袋中，并在密封袋封口处加贴密封条，由联合体牵头方盖公章。在</w:t>
      </w:r>
      <w:r>
        <w:rPr>
          <w:rFonts w:hint="eastAsia" w:ascii="仿宋" w:hAnsi="仿宋" w:eastAsia="仿宋" w:cs="仿宋_GB2312"/>
          <w:color w:val="000000" w:themeColor="text1"/>
          <w:kern w:val="0"/>
          <w:sz w:val="30"/>
          <w:szCs w:val="30"/>
          <w14:textFill>
            <w14:solidFill>
              <w14:schemeClr w14:val="tx1"/>
            </w14:solidFill>
          </w14:textFill>
        </w:rPr>
        <w:t>密封袋上均应写明：招标人名称、项目名称。</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二)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(三)投标申请人应按“第一章”招标公告规定的地点，于截止时间前提交投标申请文件。</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(四)投标申请文件未按要求填写、签字、盖章、密封或有遗漏的，视为无效投标申请文件。对在截止时间以后收到的投标申请文件，将被拒绝并退回投标申请人。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1、我公司根据你方供应链ABS主承销商（联合体）招标文件，经审查和完全理解了所有文件后，愿意以年化打包费用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完成贵公司供应链ABS产品发行，并按招标文件规定的条件和要求，完成上述项目的全部工作。</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投标申请人联合体牵头方：(全称、盖章)</w:t>
      </w:r>
    </w:p>
    <w:p>
      <w:pPr>
        <w:autoSpaceDE w:val="0"/>
        <w:autoSpaceDN w:val="0"/>
        <w:adjustRightInd w:val="0"/>
        <w:spacing w:line="600" w:lineRule="exact"/>
        <w:ind w:firstLine="600" w:firstLineChars="200"/>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pPr>
        <w:autoSpaceDE w:val="0"/>
        <w:autoSpaceDN w:val="0"/>
        <w:adjustRightInd w:val="0"/>
        <w:spacing w:line="600" w:lineRule="exact"/>
        <w:ind w:firstLine="600" w:firstLineChars="200"/>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0E1014"/>
          <w:kern w:val="0"/>
          <w:sz w:val="30"/>
          <w:szCs w:val="30"/>
        </w:rPr>
        <w:t>：</w:t>
      </w:r>
      <w:r>
        <w:rPr>
          <w:rFonts w:hint="eastAsia" w:ascii="仿宋" w:hAnsi="仿宋" w:eastAsia="仿宋"/>
          <w:color w:val="17191D"/>
          <w:kern w:val="0"/>
          <w:sz w:val="30"/>
          <w:szCs w:val="30"/>
        </w:rPr>
        <w:t>许昌市投资集团有限公司</w:t>
      </w:r>
    </w:p>
    <w:p>
      <w:pPr>
        <w:autoSpaceDE w:val="0"/>
        <w:autoSpaceDN w:val="0"/>
        <w:adjustRightInd w:val="0"/>
        <w:spacing w:line="600" w:lineRule="exact"/>
        <w:ind w:firstLine="600" w:firstLineChars="200"/>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w:t>
      </w:r>
      <w:r>
        <w:rPr>
          <w:rFonts w:hint="eastAsia" w:ascii="仿宋" w:hAnsi="仿宋" w:eastAsia="仿宋"/>
          <w:color w:val="212428"/>
          <w:kern w:val="0"/>
          <w:sz w:val="30"/>
          <w:szCs w:val="30"/>
        </w:rPr>
        <w:t>（联合体）</w:t>
      </w:r>
      <w:r>
        <w:rPr>
          <w:rFonts w:ascii="仿宋" w:hAnsi="仿宋" w:eastAsia="仿宋"/>
          <w:color w:val="212428"/>
          <w:kern w:val="0"/>
          <w:sz w:val="30"/>
          <w:szCs w:val="30"/>
        </w:rPr>
        <w:t>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rPr>
          <w:rFonts w:ascii="仿宋" w:hAnsi="仿宋" w:eastAsia="仿宋"/>
          <w:sz w:val="30"/>
          <w:szCs w:val="30"/>
        </w:rPr>
      </w:pPr>
    </w:p>
    <w:p>
      <w:pPr>
        <w:autoSpaceDE w:val="0"/>
        <w:autoSpaceDN w:val="0"/>
        <w:adjustRightInd w:val="0"/>
        <w:spacing w:line="600" w:lineRule="exact"/>
        <w:ind w:firstLine="600" w:firstLineChars="200"/>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508000</wp:posOffset>
                </wp:positionV>
                <wp:extent cx="6466840" cy="0"/>
                <wp:effectExtent l="0" t="0" r="0" b="0"/>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51.4pt;margin-top:40pt;height:0pt;width:509.2pt;z-index:251659264;mso-width-relative:page;mso-height-relative:page;" filled="f" stroked="t" coordsize="21600,21600" o:gfxdata="UEsDBAoAAAAAAIdO4kAAAAAAAAAAAAAAAAAEAAAAZHJzL1BLAwQUAAAACACHTuJAy30VgtYAAAAK&#10;AQAADwAAAGRycy9kb3ducmV2LnhtbE2PwU7DMAyG70i8Q2QkblvSiU1daTqJSVx2o0zA0WtCW5E4&#10;VZN169tjxAGOtn99/v5yd/VOTHaMfSAN2VKBsNQE01Or4fj6vMhBxIRk0AWyGmYbYVfd3pRYmHCh&#10;FzvVqRUMoVighi6loZAyNp31GJdhsMS3zzB6TDyOrTQjXhjunVwptZEee+IPHQ5239nmqz57pqzf&#10;86cD5sd5dvXH9mH/dpjIa31/l6lHEMle018YfvRZHSp2OoUzmSichkWmVuyeNOSKS3Fim603IE6/&#10;C1mV8n+F6ht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y30VgtYAAAAKAQAADwAAAAAAAAABACAA&#10;AAAiAAAAZHJzL2Rvd25yZXYueG1sUEsBAhQAFAAAAAgAh07iQHq3ctPWAQAA3AMAAA4AAAAAAAAA&#10;AQAgAAAAJQEAAGRycy9lMm9Eb2MueG1sUEsFBgAAAAAGAAYAWQEAAG0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0" t="0" r="0" b="0"/>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488315</wp:posOffset>
                </wp:positionV>
                <wp:extent cx="6466205" cy="0"/>
                <wp:effectExtent l="0" t="0" r="0" b="0"/>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4" o:spid="_x0000_s1026" o:spt="20" style="position:absolute;left:0pt;margin-left:-35.7pt;margin-top:38.45pt;height:0pt;width:509.15pt;z-index:251661312;mso-width-relative:page;mso-height-relative:page;" filled="f" stroked="t" coordsize="21600,21600" o:gfxdata="UEsDBAoAAAAAAIdO4kAAAAAAAAAAAAAAAAAEAAAAZHJzL1BLAwQUAAAACACHTuJAZqlpQ9YAAAAJ&#10;AQAADwAAAGRycy9kb3ducmV2LnhtbE2PTU+DQBCG7yb+h82YeGsXDLaALE1s4qU3sVGPW3YEIjtL&#10;2C0t/95peqi3+XjyzjPF5mx7MeHoO0cK4mUEAql2pqNGwf7jbZGC8EGT0b0jVDCjh015f1fo3LgT&#10;veNUhUZwCPlcK2hDGHIpfd2i1X7pBiTe/bjR6sDt2Egz6hOH214+RdFKWt0RX2j1gNsW69/qaDnl&#10;+St93el0P8999Z0l28/dRFapx4c4egER8BxuMFz0WR1Kdjq4IxkvegWLdZwwqmC9ykAwkCWX4nAd&#10;yLKQ/z8o/wB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pQ9YAAAAJAQAADwAAAAAAAAAB&#10;ACAAAAAiAAAAZHJzL2Rvd25yZXYueG1sUEsBAhQAFAAAAAgAh07iQDQT8MbZAQAA3AMAAA4AAAAA&#10;AAAAAQAgAAAAJQEAAGRycy9lMm9Eb2MueG1sUEsFBgAAAAAGAAYAWQEAAHA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7"/>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5"/>
        <w:spacing w:line="600" w:lineRule="exact"/>
        <w:ind w:firstLine="0" w:firstLineChars="0"/>
        <w:rPr>
          <w:rFonts w:ascii="仿宋" w:hAnsi="仿宋" w:eastAsia="仿宋" w:cs="仿宋_GB2312"/>
          <w:sz w:val="30"/>
          <w:szCs w:val="30"/>
        </w:rPr>
      </w:pPr>
    </w:p>
    <w:p>
      <w:pPr>
        <w:pStyle w:val="8"/>
        <w:rPr>
          <w:rFonts w:ascii="仿宋" w:hAnsi="仿宋" w:eastAsia="仿宋" w:cs="仿宋_GB2312"/>
          <w:color w:val="111318"/>
          <w:kern w:val="0"/>
          <w:sz w:val="30"/>
          <w:szCs w:val="30"/>
        </w:rPr>
      </w:pPr>
    </w:p>
    <w:p>
      <w:pPr>
        <w:pStyle w:val="45"/>
        <w:spacing w:line="600" w:lineRule="exact"/>
        <w:ind w:firstLine="0" w:firstLineChars="0"/>
        <w:rPr>
          <w:rFonts w:ascii="宋体" w:hAnsi="宋体"/>
          <w:bCs/>
          <w:sz w:val="32"/>
          <w:szCs w:val="32"/>
        </w:rPr>
      </w:pPr>
      <w:r>
        <w:rPr>
          <w:rFonts w:hint="eastAsia" w:ascii="宋体" w:hAnsi="宋体"/>
          <w:bCs/>
          <w:sz w:val="32"/>
          <w:szCs w:val="32"/>
        </w:rPr>
        <w:t>附件</w:t>
      </w:r>
      <w:r>
        <w:rPr>
          <w:rFonts w:ascii="宋体" w:hAnsi="宋体"/>
          <w:bCs/>
          <w:sz w:val="32"/>
          <w:szCs w:val="32"/>
        </w:rPr>
        <w:t>7</w:t>
      </w:r>
      <w:r>
        <w:rPr>
          <w:rFonts w:hint="eastAsia" w:ascii="宋体" w:hAnsi="宋体"/>
          <w:bCs/>
          <w:sz w:val="32"/>
          <w:szCs w:val="32"/>
        </w:rPr>
        <w:t>：</w:t>
      </w:r>
    </w:p>
    <w:p>
      <w:pPr>
        <w:spacing w:line="600" w:lineRule="exact"/>
        <w:ind w:firstLine="2570" w:firstLineChars="800"/>
        <w:rPr>
          <w:rFonts w:ascii="宋体" w:hAnsi="宋体"/>
          <w:b/>
          <w:sz w:val="32"/>
          <w:szCs w:val="32"/>
        </w:rPr>
      </w:pPr>
      <w:r>
        <w:rPr>
          <w:rFonts w:hint="eastAsia" w:ascii="宋体" w:hAnsi="宋体"/>
          <w:b/>
          <w:sz w:val="32"/>
          <w:szCs w:val="32"/>
        </w:rPr>
        <w:t>项目经理基本情况表</w:t>
      </w:r>
    </w:p>
    <w:p>
      <w:pPr>
        <w:rPr>
          <w:rFonts w:ascii="宋体" w:hAnsi="宋体"/>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宋体" w:hAnsi="宋体"/>
                <w:sz w:val="24"/>
                <w:szCs w:val="24"/>
              </w:rPr>
            </w:pPr>
            <w:r>
              <w:rPr>
                <w:rFonts w:hint="eastAsia" w:ascii="宋体" w:hAnsi="宋体"/>
                <w:sz w:val="24"/>
                <w:szCs w:val="24"/>
              </w:rPr>
              <w:t>姓名</w:t>
            </w:r>
          </w:p>
        </w:tc>
        <w:tc>
          <w:tcPr>
            <w:tcW w:w="1245" w:type="dxa"/>
            <w:gridSpan w:val="2"/>
          </w:tcPr>
          <w:p>
            <w:pPr>
              <w:spacing w:line="600" w:lineRule="exact"/>
              <w:rPr>
                <w:rFonts w:ascii="宋体" w:hAnsi="宋体"/>
                <w:sz w:val="24"/>
                <w:szCs w:val="24"/>
              </w:rPr>
            </w:pPr>
          </w:p>
        </w:tc>
        <w:tc>
          <w:tcPr>
            <w:tcW w:w="928" w:type="dxa"/>
            <w:gridSpan w:val="2"/>
          </w:tcPr>
          <w:p>
            <w:pPr>
              <w:spacing w:line="600" w:lineRule="exact"/>
              <w:rPr>
                <w:rFonts w:ascii="宋体" w:hAnsi="宋体"/>
                <w:sz w:val="24"/>
                <w:szCs w:val="24"/>
              </w:rPr>
            </w:pPr>
            <w:r>
              <w:rPr>
                <w:rFonts w:hint="eastAsia" w:ascii="宋体" w:hAnsi="宋体"/>
                <w:sz w:val="24"/>
                <w:szCs w:val="24"/>
              </w:rPr>
              <w:t>性别</w:t>
            </w:r>
          </w:p>
        </w:tc>
        <w:tc>
          <w:tcPr>
            <w:tcW w:w="1131" w:type="dxa"/>
            <w:gridSpan w:val="2"/>
          </w:tcPr>
          <w:p>
            <w:pPr>
              <w:spacing w:line="600" w:lineRule="exact"/>
              <w:rPr>
                <w:rFonts w:ascii="宋体" w:hAnsi="宋体"/>
                <w:sz w:val="24"/>
                <w:szCs w:val="24"/>
              </w:rPr>
            </w:pPr>
          </w:p>
        </w:tc>
        <w:tc>
          <w:tcPr>
            <w:tcW w:w="1228" w:type="dxa"/>
            <w:gridSpan w:val="2"/>
          </w:tcPr>
          <w:p>
            <w:pPr>
              <w:spacing w:line="600" w:lineRule="exact"/>
              <w:rPr>
                <w:rFonts w:ascii="宋体" w:hAnsi="宋体"/>
                <w:sz w:val="24"/>
                <w:szCs w:val="24"/>
              </w:rPr>
            </w:pPr>
            <w:r>
              <w:rPr>
                <w:rFonts w:hint="eastAsia" w:ascii="宋体" w:hAnsi="宋体"/>
                <w:sz w:val="24"/>
                <w:szCs w:val="24"/>
              </w:rPr>
              <w:t>出生日期</w:t>
            </w:r>
          </w:p>
        </w:tc>
        <w:tc>
          <w:tcPr>
            <w:tcW w:w="2039" w:type="dxa"/>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宋体" w:hAnsi="宋体"/>
                <w:sz w:val="24"/>
                <w:szCs w:val="24"/>
              </w:rPr>
            </w:pPr>
            <w:r>
              <w:rPr>
                <w:rFonts w:hint="eastAsia" w:ascii="宋体" w:hAnsi="宋体"/>
                <w:sz w:val="24"/>
                <w:szCs w:val="24"/>
              </w:rPr>
              <w:t>毕业院校专业</w:t>
            </w:r>
          </w:p>
        </w:tc>
        <w:tc>
          <w:tcPr>
            <w:tcW w:w="3304" w:type="dxa"/>
            <w:gridSpan w:val="6"/>
          </w:tcPr>
          <w:p>
            <w:pPr>
              <w:spacing w:line="600" w:lineRule="exact"/>
              <w:rPr>
                <w:rFonts w:ascii="宋体" w:hAnsi="宋体"/>
                <w:sz w:val="24"/>
                <w:szCs w:val="24"/>
              </w:rPr>
            </w:pPr>
          </w:p>
        </w:tc>
        <w:tc>
          <w:tcPr>
            <w:tcW w:w="1228" w:type="dxa"/>
            <w:gridSpan w:val="2"/>
          </w:tcPr>
          <w:p>
            <w:pPr>
              <w:spacing w:line="600" w:lineRule="exact"/>
              <w:rPr>
                <w:rFonts w:ascii="宋体" w:hAnsi="宋体"/>
                <w:sz w:val="24"/>
                <w:szCs w:val="24"/>
              </w:rPr>
            </w:pPr>
            <w:r>
              <w:rPr>
                <w:rFonts w:hint="eastAsia" w:ascii="宋体" w:hAnsi="宋体"/>
                <w:sz w:val="24"/>
                <w:szCs w:val="24"/>
              </w:rPr>
              <w:t>毕业时间</w:t>
            </w:r>
          </w:p>
        </w:tc>
        <w:tc>
          <w:tcPr>
            <w:tcW w:w="2039" w:type="dxa"/>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宋体" w:hAnsi="宋体"/>
                <w:sz w:val="24"/>
                <w:szCs w:val="24"/>
              </w:rPr>
            </w:pPr>
            <w:r>
              <w:rPr>
                <w:rFonts w:hint="eastAsia" w:ascii="宋体" w:hAnsi="宋体"/>
                <w:sz w:val="24"/>
                <w:szCs w:val="24"/>
              </w:rPr>
              <w:t>从事本专业时间</w:t>
            </w:r>
          </w:p>
        </w:tc>
        <w:tc>
          <w:tcPr>
            <w:tcW w:w="2268" w:type="dxa"/>
            <w:gridSpan w:val="5"/>
          </w:tcPr>
          <w:p>
            <w:pPr>
              <w:spacing w:line="600" w:lineRule="exact"/>
              <w:rPr>
                <w:rFonts w:ascii="宋体" w:hAnsi="宋体"/>
                <w:sz w:val="24"/>
                <w:szCs w:val="24"/>
              </w:rPr>
            </w:pPr>
          </w:p>
        </w:tc>
        <w:tc>
          <w:tcPr>
            <w:tcW w:w="2264" w:type="dxa"/>
            <w:gridSpan w:val="3"/>
          </w:tcPr>
          <w:p>
            <w:pPr>
              <w:spacing w:line="600" w:lineRule="exact"/>
              <w:rPr>
                <w:rFonts w:ascii="宋体" w:hAnsi="宋体"/>
                <w:sz w:val="24"/>
                <w:szCs w:val="24"/>
              </w:rPr>
            </w:pPr>
            <w:r>
              <w:rPr>
                <w:rFonts w:hint="eastAsia" w:ascii="宋体" w:hAnsi="宋体"/>
                <w:sz w:val="24"/>
                <w:szCs w:val="24"/>
              </w:rPr>
              <w:t>在投标人工作时间</w:t>
            </w:r>
          </w:p>
        </w:tc>
        <w:tc>
          <w:tcPr>
            <w:tcW w:w="2039" w:type="dxa"/>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宋体" w:hAnsi="宋体"/>
                <w:sz w:val="24"/>
                <w:szCs w:val="24"/>
              </w:rPr>
            </w:pPr>
            <w:r>
              <w:rPr>
                <w:rFonts w:hint="eastAsia" w:ascii="宋体" w:hAnsi="宋体"/>
                <w:sz w:val="24"/>
                <w:szCs w:val="24"/>
              </w:rPr>
              <w:t>在本项目拟任职务</w:t>
            </w:r>
          </w:p>
        </w:tc>
        <w:tc>
          <w:tcPr>
            <w:tcW w:w="5830" w:type="dxa"/>
            <w:gridSpan w:val="8"/>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宋体" w:hAnsi="宋体"/>
                <w:sz w:val="24"/>
                <w:szCs w:val="24"/>
              </w:rPr>
            </w:pPr>
            <w:r>
              <w:rPr>
                <w:rFonts w:hint="eastAsia" w:ascii="宋体" w:hAnsi="宋体"/>
                <w:sz w:val="24"/>
                <w:szCs w:val="24"/>
              </w:rPr>
              <w:t>本人主要成果</w:t>
            </w:r>
          </w:p>
        </w:tc>
        <w:tc>
          <w:tcPr>
            <w:tcW w:w="6689" w:type="dxa"/>
            <w:gridSpan w:val="10"/>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宋体" w:hAnsi="宋体"/>
                <w:sz w:val="24"/>
                <w:szCs w:val="24"/>
              </w:rPr>
            </w:pPr>
            <w:r>
              <w:rPr>
                <w:rFonts w:hint="eastAsia" w:ascii="宋体" w:hAnsi="宋体"/>
                <w:sz w:val="24"/>
                <w:szCs w:val="24"/>
              </w:rPr>
              <w:t>序号</w:t>
            </w:r>
          </w:p>
        </w:tc>
        <w:tc>
          <w:tcPr>
            <w:tcW w:w="2822" w:type="dxa"/>
            <w:gridSpan w:val="5"/>
          </w:tcPr>
          <w:p>
            <w:pPr>
              <w:spacing w:line="600" w:lineRule="exact"/>
              <w:rPr>
                <w:rFonts w:ascii="宋体" w:hAnsi="宋体"/>
                <w:sz w:val="24"/>
                <w:szCs w:val="24"/>
              </w:rPr>
            </w:pPr>
            <w:r>
              <w:rPr>
                <w:rFonts w:hint="eastAsia" w:ascii="宋体" w:hAnsi="宋体"/>
                <w:sz w:val="24"/>
                <w:szCs w:val="24"/>
              </w:rPr>
              <w:t>项目名称及规模</w:t>
            </w:r>
          </w:p>
        </w:tc>
        <w:tc>
          <w:tcPr>
            <w:tcW w:w="1609" w:type="dxa"/>
            <w:gridSpan w:val="4"/>
          </w:tcPr>
          <w:p>
            <w:pPr>
              <w:spacing w:line="600" w:lineRule="exact"/>
              <w:rPr>
                <w:rFonts w:ascii="宋体" w:hAnsi="宋体"/>
                <w:sz w:val="24"/>
                <w:szCs w:val="24"/>
              </w:rPr>
            </w:pPr>
            <w:r>
              <w:rPr>
                <w:rFonts w:hint="eastAsia" w:ascii="宋体" w:hAnsi="宋体"/>
                <w:sz w:val="24"/>
                <w:szCs w:val="24"/>
              </w:rPr>
              <w:t>完成年月</w:t>
            </w:r>
          </w:p>
        </w:tc>
        <w:tc>
          <w:tcPr>
            <w:tcW w:w="2817" w:type="dxa"/>
            <w:gridSpan w:val="2"/>
          </w:tcPr>
          <w:p>
            <w:pPr>
              <w:spacing w:line="600" w:lineRule="exact"/>
              <w:rPr>
                <w:rFonts w:ascii="宋体" w:hAnsi="宋体"/>
                <w:sz w:val="24"/>
                <w:szCs w:val="24"/>
              </w:rPr>
            </w:pPr>
            <w:r>
              <w:rPr>
                <w:rFonts w:hint="eastAsia" w:ascii="宋体" w:hAnsi="宋体"/>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宋体" w:hAnsi="宋体"/>
                <w:sz w:val="24"/>
                <w:szCs w:val="24"/>
              </w:rPr>
            </w:pPr>
            <w:r>
              <w:rPr>
                <w:rFonts w:hint="eastAsia" w:ascii="宋体" w:hAnsi="宋体"/>
                <w:sz w:val="24"/>
                <w:szCs w:val="24"/>
              </w:rPr>
              <w:t>1</w:t>
            </w:r>
          </w:p>
        </w:tc>
        <w:tc>
          <w:tcPr>
            <w:tcW w:w="2822" w:type="dxa"/>
            <w:gridSpan w:val="5"/>
          </w:tcPr>
          <w:p>
            <w:pPr>
              <w:spacing w:line="600" w:lineRule="exact"/>
              <w:rPr>
                <w:rFonts w:ascii="宋体" w:hAnsi="宋体"/>
                <w:sz w:val="24"/>
                <w:szCs w:val="24"/>
              </w:rPr>
            </w:pPr>
          </w:p>
        </w:tc>
        <w:tc>
          <w:tcPr>
            <w:tcW w:w="1609" w:type="dxa"/>
            <w:gridSpan w:val="4"/>
          </w:tcPr>
          <w:p>
            <w:pPr>
              <w:spacing w:line="600" w:lineRule="exact"/>
              <w:rPr>
                <w:rFonts w:ascii="宋体" w:hAnsi="宋体"/>
                <w:sz w:val="24"/>
                <w:szCs w:val="24"/>
              </w:rPr>
            </w:pPr>
          </w:p>
        </w:tc>
        <w:tc>
          <w:tcPr>
            <w:tcW w:w="2817" w:type="dxa"/>
            <w:gridSpan w:val="2"/>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宋体" w:hAnsi="宋体"/>
                <w:sz w:val="24"/>
                <w:szCs w:val="24"/>
              </w:rPr>
            </w:pPr>
            <w:r>
              <w:rPr>
                <w:rFonts w:hint="eastAsia" w:ascii="宋体" w:hAnsi="宋体"/>
                <w:sz w:val="24"/>
                <w:szCs w:val="24"/>
              </w:rPr>
              <w:t>2</w:t>
            </w:r>
          </w:p>
        </w:tc>
        <w:tc>
          <w:tcPr>
            <w:tcW w:w="2822" w:type="dxa"/>
            <w:gridSpan w:val="5"/>
          </w:tcPr>
          <w:p>
            <w:pPr>
              <w:spacing w:line="600" w:lineRule="exact"/>
              <w:rPr>
                <w:rFonts w:ascii="宋体" w:hAnsi="宋体"/>
                <w:sz w:val="24"/>
                <w:szCs w:val="24"/>
              </w:rPr>
            </w:pPr>
          </w:p>
        </w:tc>
        <w:tc>
          <w:tcPr>
            <w:tcW w:w="1609" w:type="dxa"/>
            <w:gridSpan w:val="4"/>
          </w:tcPr>
          <w:p>
            <w:pPr>
              <w:spacing w:line="600" w:lineRule="exact"/>
              <w:rPr>
                <w:rFonts w:ascii="宋体" w:hAnsi="宋体"/>
                <w:sz w:val="24"/>
                <w:szCs w:val="24"/>
              </w:rPr>
            </w:pPr>
          </w:p>
        </w:tc>
        <w:tc>
          <w:tcPr>
            <w:tcW w:w="2817" w:type="dxa"/>
            <w:gridSpan w:val="2"/>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宋体" w:hAnsi="宋体"/>
                <w:sz w:val="24"/>
                <w:szCs w:val="24"/>
              </w:rPr>
            </w:pPr>
            <w:r>
              <w:rPr>
                <w:rFonts w:hint="eastAsia" w:ascii="宋体" w:hAnsi="宋体"/>
                <w:sz w:val="24"/>
                <w:szCs w:val="24"/>
              </w:rPr>
              <w:t>3</w:t>
            </w:r>
          </w:p>
        </w:tc>
        <w:tc>
          <w:tcPr>
            <w:tcW w:w="2822" w:type="dxa"/>
            <w:gridSpan w:val="5"/>
          </w:tcPr>
          <w:p>
            <w:pPr>
              <w:spacing w:line="600" w:lineRule="exact"/>
              <w:rPr>
                <w:rFonts w:ascii="宋体" w:hAnsi="宋体"/>
                <w:sz w:val="24"/>
                <w:szCs w:val="24"/>
              </w:rPr>
            </w:pPr>
          </w:p>
        </w:tc>
        <w:tc>
          <w:tcPr>
            <w:tcW w:w="1609" w:type="dxa"/>
            <w:gridSpan w:val="4"/>
          </w:tcPr>
          <w:p>
            <w:pPr>
              <w:spacing w:line="600" w:lineRule="exact"/>
              <w:rPr>
                <w:rFonts w:ascii="宋体" w:hAnsi="宋体"/>
                <w:sz w:val="24"/>
                <w:szCs w:val="24"/>
              </w:rPr>
            </w:pPr>
          </w:p>
        </w:tc>
        <w:tc>
          <w:tcPr>
            <w:tcW w:w="2817" w:type="dxa"/>
            <w:gridSpan w:val="2"/>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宋体" w:hAnsi="宋体"/>
                <w:sz w:val="24"/>
                <w:szCs w:val="24"/>
              </w:rPr>
            </w:pPr>
            <w:r>
              <w:rPr>
                <w:rFonts w:hint="eastAsia" w:ascii="宋体" w:hAnsi="宋体"/>
                <w:sz w:val="24"/>
                <w:szCs w:val="24"/>
              </w:rPr>
              <w:t>4</w:t>
            </w:r>
          </w:p>
        </w:tc>
        <w:tc>
          <w:tcPr>
            <w:tcW w:w="2822" w:type="dxa"/>
            <w:gridSpan w:val="5"/>
          </w:tcPr>
          <w:p>
            <w:pPr>
              <w:spacing w:line="600" w:lineRule="exact"/>
              <w:rPr>
                <w:rFonts w:ascii="宋体" w:hAnsi="宋体"/>
                <w:sz w:val="24"/>
                <w:szCs w:val="24"/>
              </w:rPr>
            </w:pPr>
          </w:p>
        </w:tc>
        <w:tc>
          <w:tcPr>
            <w:tcW w:w="1609" w:type="dxa"/>
            <w:gridSpan w:val="4"/>
          </w:tcPr>
          <w:p>
            <w:pPr>
              <w:spacing w:line="600" w:lineRule="exact"/>
              <w:rPr>
                <w:rFonts w:ascii="宋体" w:hAnsi="宋体"/>
                <w:sz w:val="24"/>
                <w:szCs w:val="24"/>
              </w:rPr>
            </w:pPr>
          </w:p>
        </w:tc>
        <w:tc>
          <w:tcPr>
            <w:tcW w:w="2817" w:type="dxa"/>
            <w:gridSpan w:val="2"/>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宋体" w:hAnsi="宋体"/>
                <w:sz w:val="24"/>
                <w:szCs w:val="24"/>
              </w:rPr>
            </w:pPr>
          </w:p>
        </w:tc>
        <w:tc>
          <w:tcPr>
            <w:tcW w:w="2822" w:type="dxa"/>
            <w:gridSpan w:val="5"/>
          </w:tcPr>
          <w:p>
            <w:pPr>
              <w:spacing w:line="600" w:lineRule="exact"/>
              <w:rPr>
                <w:rFonts w:ascii="宋体" w:hAnsi="宋体"/>
                <w:sz w:val="24"/>
                <w:szCs w:val="24"/>
              </w:rPr>
            </w:pPr>
          </w:p>
        </w:tc>
        <w:tc>
          <w:tcPr>
            <w:tcW w:w="1609" w:type="dxa"/>
            <w:gridSpan w:val="4"/>
          </w:tcPr>
          <w:p>
            <w:pPr>
              <w:spacing w:line="600" w:lineRule="exact"/>
              <w:rPr>
                <w:rFonts w:ascii="宋体" w:hAnsi="宋体"/>
                <w:sz w:val="24"/>
                <w:szCs w:val="24"/>
              </w:rPr>
            </w:pPr>
          </w:p>
        </w:tc>
        <w:tc>
          <w:tcPr>
            <w:tcW w:w="2817" w:type="dxa"/>
            <w:gridSpan w:val="2"/>
          </w:tcPr>
          <w:p>
            <w:pPr>
              <w:spacing w:line="60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宋体" w:hAnsi="宋体"/>
                <w:sz w:val="24"/>
                <w:szCs w:val="24"/>
              </w:rPr>
            </w:pPr>
            <w:r>
              <w:rPr>
                <w:rFonts w:hint="eastAsia" w:ascii="宋体" w:hAnsi="宋体"/>
                <w:sz w:val="24"/>
                <w:szCs w:val="24"/>
              </w:rPr>
              <w:t>其他需要补充的情况</w:t>
            </w:r>
          </w:p>
        </w:tc>
        <w:tc>
          <w:tcPr>
            <w:tcW w:w="7248" w:type="dxa"/>
            <w:gridSpan w:val="11"/>
          </w:tcPr>
          <w:p>
            <w:pPr>
              <w:spacing w:line="600" w:lineRule="exact"/>
              <w:rPr>
                <w:rFonts w:ascii="宋体" w:hAnsi="宋体"/>
                <w:sz w:val="24"/>
                <w:szCs w:val="24"/>
              </w:rPr>
            </w:pPr>
          </w:p>
          <w:p>
            <w:pPr>
              <w:spacing w:line="600" w:lineRule="exact"/>
              <w:rPr>
                <w:rFonts w:ascii="宋体" w:hAnsi="宋体"/>
                <w:sz w:val="24"/>
                <w:szCs w:val="24"/>
              </w:rPr>
            </w:pPr>
          </w:p>
          <w:p>
            <w:pPr>
              <w:spacing w:line="600" w:lineRule="exact"/>
              <w:rPr>
                <w:rFonts w:ascii="宋体" w:hAnsi="宋体"/>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b/>
          <w:sz w:val="36"/>
          <w:szCs w:val="36"/>
        </w:rPr>
      </w:pPr>
    </w:p>
    <w:p>
      <w:pPr>
        <w:sectPr>
          <w:pgSz w:w="11906" w:h="16838"/>
          <w:pgMar w:top="1440" w:right="1800" w:bottom="1440" w:left="1800" w:header="851" w:footer="992" w:gutter="0"/>
          <w:cols w:space="720" w:num="1"/>
          <w:docGrid w:type="lines" w:linePitch="312" w:charSpace="0"/>
        </w:sectPr>
      </w:pPr>
    </w:p>
    <w:p/>
    <w:p>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ascii="仿宋" w:hAnsi="仿宋" w:eastAsia="仿宋" w:cs="仿宋_GB2312"/>
          <w:sz w:val="30"/>
          <w:szCs w:val="30"/>
        </w:rPr>
        <w:sectPr>
          <w:pgSz w:w="11906" w:h="16838"/>
          <w:pgMar w:top="1440" w:right="1800" w:bottom="1440" w:left="1800" w:header="851" w:footer="992" w:gutter="0"/>
          <w:cols w:space="720" w:num="1"/>
          <w:docGrid w:type="lines" w:linePitch="312" w:charSpace="0"/>
        </w:sect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1</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本次ABS产品服务方案（联合体牵头方）</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由联合体牵头方向招标人提交服务方案，包括但不限于联合体牵头方基本情况介绍、服务能力介绍、业务优势介绍、其他需要说明的事项等。</w:t>
      </w:r>
    </w:p>
    <w:p>
      <w:pPr>
        <w:spacing w:line="600" w:lineRule="exact"/>
        <w:ind w:firstLine="600" w:firstLineChars="200"/>
        <w:rPr>
          <w:rFonts w:ascii="仿宋" w:hAnsi="仿宋" w:eastAsia="仿宋" w:cs="仿宋_GB2312"/>
          <w:sz w:val="30"/>
          <w:szCs w:val="30"/>
        </w:rPr>
      </w:pPr>
    </w:p>
    <w:p>
      <w:pPr>
        <w:spacing w:line="600" w:lineRule="exact"/>
        <w:rPr>
          <w:rFonts w:ascii="仿宋" w:hAnsi="仿宋" w:eastAsia="仿宋" w:cs="仿宋_GB2312"/>
          <w:sz w:val="30"/>
          <w:szCs w:val="30"/>
        </w:rPr>
        <w:sectPr>
          <w:pgSz w:w="11906" w:h="16838"/>
          <w:pgMar w:top="1440" w:right="1800" w:bottom="1440" w:left="1800" w:header="851" w:footer="992" w:gutter="0"/>
          <w:cols w:space="720" w:num="1"/>
          <w:docGrid w:type="lines" w:linePitch="312" w:charSpace="0"/>
        </w:sect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1</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本次ABS产品发行方案（联合体成员）</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由联合体成员向招标人提交发行方案。内容包括但不限于以下要素：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w:t>
      </w:r>
      <w:r>
        <w:rPr>
          <w:rFonts w:hint="eastAsia" w:ascii="仿宋" w:hAnsi="仿宋" w:eastAsia="仿宋"/>
          <w:sz w:val="30"/>
          <w:szCs w:val="30"/>
        </w:rPr>
        <w:t>ABS产品</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（1）申请额度；</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w:t>
      </w:r>
      <w:r>
        <w:rPr>
          <w:rFonts w:ascii="仿宋" w:hAnsi="仿宋" w:eastAsia="仿宋" w:cs="仿宋_GB2312"/>
          <w:sz w:val="30"/>
          <w:szCs w:val="30"/>
        </w:rPr>
        <w:t>4</w:t>
      </w:r>
      <w:r>
        <w:rPr>
          <w:rFonts w:hint="eastAsia" w:ascii="仿宋" w:hAnsi="仿宋" w:eastAsia="仿宋" w:cs="仿宋_GB2312"/>
          <w:sz w:val="30"/>
          <w:szCs w:val="30"/>
        </w:rPr>
        <w:t>）增信措施；</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w:t>
      </w:r>
      <w:r>
        <w:rPr>
          <w:rFonts w:ascii="仿宋" w:hAnsi="仿宋" w:eastAsia="仿宋" w:cs="仿宋_GB2312"/>
          <w:sz w:val="30"/>
          <w:szCs w:val="30"/>
        </w:rPr>
        <w:t>5</w:t>
      </w:r>
      <w:r>
        <w:rPr>
          <w:rFonts w:hint="eastAsia" w:ascii="仿宋" w:hAnsi="仿宋" w:eastAsia="仿宋" w:cs="仿宋_GB2312"/>
          <w:sz w:val="30"/>
          <w:szCs w:val="30"/>
        </w:rPr>
        <w:t>）发行票面利率预测；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w:t>
      </w:r>
      <w:r>
        <w:rPr>
          <w:rFonts w:ascii="仿宋" w:hAnsi="仿宋" w:eastAsia="仿宋" w:cs="仿宋_GB2312"/>
          <w:sz w:val="30"/>
          <w:szCs w:val="30"/>
        </w:rPr>
        <w:t>6</w:t>
      </w:r>
      <w:r>
        <w:rPr>
          <w:rFonts w:hint="eastAsia" w:ascii="仿宋" w:hAnsi="仿宋" w:eastAsia="仿宋" w:cs="仿宋_GB2312"/>
          <w:sz w:val="30"/>
          <w:szCs w:val="30"/>
        </w:rPr>
        <w:t>）服务期限；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3、交易结构介绍；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4、申报材料清单；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（二）对招标人ABS产品发行工作中存在的问题以及需要重点关注问题的分析，并就上述问题提出切实可行的解决方案。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对ABS产品发行及存续期内的服务工作安排以及意外风险应变、备选方案等。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1、ABS产品承销能力介绍；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2、ABS产品销售资源及渠道介绍；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w:t>
    </w:r>
    <w:r>
      <w:rPr>
        <w:lang w:val="zh-C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37FA"/>
    <w:rsid w:val="000A6B63"/>
    <w:rsid w:val="000B57F0"/>
    <w:rsid w:val="000D1C08"/>
    <w:rsid w:val="000E18B9"/>
    <w:rsid w:val="000E25B5"/>
    <w:rsid w:val="000F6EFD"/>
    <w:rsid w:val="00105F87"/>
    <w:rsid w:val="001066C5"/>
    <w:rsid w:val="00107DE9"/>
    <w:rsid w:val="00114FDF"/>
    <w:rsid w:val="001178D8"/>
    <w:rsid w:val="00135481"/>
    <w:rsid w:val="001362F2"/>
    <w:rsid w:val="0014616F"/>
    <w:rsid w:val="00163BA5"/>
    <w:rsid w:val="00165419"/>
    <w:rsid w:val="00173F87"/>
    <w:rsid w:val="00175036"/>
    <w:rsid w:val="00193C74"/>
    <w:rsid w:val="001D0115"/>
    <w:rsid w:val="001E1E43"/>
    <w:rsid w:val="001F43F9"/>
    <w:rsid w:val="0020182A"/>
    <w:rsid w:val="00206A2B"/>
    <w:rsid w:val="002131FA"/>
    <w:rsid w:val="00217CE0"/>
    <w:rsid w:val="0022137E"/>
    <w:rsid w:val="002256FC"/>
    <w:rsid w:val="00236CA3"/>
    <w:rsid w:val="00237362"/>
    <w:rsid w:val="002934D0"/>
    <w:rsid w:val="002B4FD5"/>
    <w:rsid w:val="002C57FB"/>
    <w:rsid w:val="002C676C"/>
    <w:rsid w:val="002D0D49"/>
    <w:rsid w:val="002D3F2A"/>
    <w:rsid w:val="002E10C6"/>
    <w:rsid w:val="002E67EC"/>
    <w:rsid w:val="002F10D2"/>
    <w:rsid w:val="00305E8A"/>
    <w:rsid w:val="00310E8F"/>
    <w:rsid w:val="003149B3"/>
    <w:rsid w:val="003222DC"/>
    <w:rsid w:val="00323871"/>
    <w:rsid w:val="00333984"/>
    <w:rsid w:val="0034389B"/>
    <w:rsid w:val="00343ACE"/>
    <w:rsid w:val="00343FD0"/>
    <w:rsid w:val="00353269"/>
    <w:rsid w:val="003625C3"/>
    <w:rsid w:val="00362D59"/>
    <w:rsid w:val="003676D7"/>
    <w:rsid w:val="0037312D"/>
    <w:rsid w:val="00381DD9"/>
    <w:rsid w:val="003948BA"/>
    <w:rsid w:val="003A20D3"/>
    <w:rsid w:val="003A2BA5"/>
    <w:rsid w:val="003A49A1"/>
    <w:rsid w:val="003B2EF4"/>
    <w:rsid w:val="003D6815"/>
    <w:rsid w:val="003D765B"/>
    <w:rsid w:val="003D7738"/>
    <w:rsid w:val="003E3F18"/>
    <w:rsid w:val="003E40FD"/>
    <w:rsid w:val="00404C70"/>
    <w:rsid w:val="00405DFB"/>
    <w:rsid w:val="00413F29"/>
    <w:rsid w:val="00427F0D"/>
    <w:rsid w:val="00440800"/>
    <w:rsid w:val="004552A8"/>
    <w:rsid w:val="004667C9"/>
    <w:rsid w:val="00470702"/>
    <w:rsid w:val="004831E7"/>
    <w:rsid w:val="00484ABF"/>
    <w:rsid w:val="00486BAD"/>
    <w:rsid w:val="004912AA"/>
    <w:rsid w:val="00492292"/>
    <w:rsid w:val="004A28F4"/>
    <w:rsid w:val="004A3A0A"/>
    <w:rsid w:val="004B06F0"/>
    <w:rsid w:val="004B17FE"/>
    <w:rsid w:val="004B6FF6"/>
    <w:rsid w:val="004C7CD4"/>
    <w:rsid w:val="004F15A1"/>
    <w:rsid w:val="00505784"/>
    <w:rsid w:val="00514C78"/>
    <w:rsid w:val="00517062"/>
    <w:rsid w:val="00522AD3"/>
    <w:rsid w:val="00532258"/>
    <w:rsid w:val="00550B52"/>
    <w:rsid w:val="005537E6"/>
    <w:rsid w:val="005621E2"/>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3913"/>
    <w:rsid w:val="0067580C"/>
    <w:rsid w:val="00684057"/>
    <w:rsid w:val="00684689"/>
    <w:rsid w:val="00685559"/>
    <w:rsid w:val="00690C20"/>
    <w:rsid w:val="00691C97"/>
    <w:rsid w:val="006954FE"/>
    <w:rsid w:val="006B07A6"/>
    <w:rsid w:val="006C352C"/>
    <w:rsid w:val="006C413E"/>
    <w:rsid w:val="006D657D"/>
    <w:rsid w:val="006E2068"/>
    <w:rsid w:val="006F5346"/>
    <w:rsid w:val="0070431F"/>
    <w:rsid w:val="00710922"/>
    <w:rsid w:val="00712394"/>
    <w:rsid w:val="00723D4E"/>
    <w:rsid w:val="00750FD2"/>
    <w:rsid w:val="00765008"/>
    <w:rsid w:val="00792F1A"/>
    <w:rsid w:val="00794FC7"/>
    <w:rsid w:val="007974CF"/>
    <w:rsid w:val="007A1630"/>
    <w:rsid w:val="007B00FC"/>
    <w:rsid w:val="007B2C74"/>
    <w:rsid w:val="007B32FA"/>
    <w:rsid w:val="007B5D71"/>
    <w:rsid w:val="007B7FA7"/>
    <w:rsid w:val="007C513A"/>
    <w:rsid w:val="007D4183"/>
    <w:rsid w:val="007D457C"/>
    <w:rsid w:val="007D76E9"/>
    <w:rsid w:val="007E3EA6"/>
    <w:rsid w:val="007F0151"/>
    <w:rsid w:val="00803EB3"/>
    <w:rsid w:val="008141F0"/>
    <w:rsid w:val="00816AD2"/>
    <w:rsid w:val="00822D02"/>
    <w:rsid w:val="008336C0"/>
    <w:rsid w:val="00841A8E"/>
    <w:rsid w:val="00851F0D"/>
    <w:rsid w:val="00853789"/>
    <w:rsid w:val="00872707"/>
    <w:rsid w:val="008A0860"/>
    <w:rsid w:val="008B11F1"/>
    <w:rsid w:val="008D301E"/>
    <w:rsid w:val="008D6678"/>
    <w:rsid w:val="008E6107"/>
    <w:rsid w:val="008F1821"/>
    <w:rsid w:val="009012C8"/>
    <w:rsid w:val="0090319A"/>
    <w:rsid w:val="00904FA2"/>
    <w:rsid w:val="0090795A"/>
    <w:rsid w:val="00911E5D"/>
    <w:rsid w:val="00917B4B"/>
    <w:rsid w:val="00933D73"/>
    <w:rsid w:val="00935317"/>
    <w:rsid w:val="009433DA"/>
    <w:rsid w:val="0095653F"/>
    <w:rsid w:val="00966B7D"/>
    <w:rsid w:val="0099708F"/>
    <w:rsid w:val="009B27A6"/>
    <w:rsid w:val="009B4052"/>
    <w:rsid w:val="009B42B3"/>
    <w:rsid w:val="009B7A0E"/>
    <w:rsid w:val="009E4865"/>
    <w:rsid w:val="009E504C"/>
    <w:rsid w:val="00A11C01"/>
    <w:rsid w:val="00A168B0"/>
    <w:rsid w:val="00A21AD3"/>
    <w:rsid w:val="00A3626C"/>
    <w:rsid w:val="00A41284"/>
    <w:rsid w:val="00A41C61"/>
    <w:rsid w:val="00A440DC"/>
    <w:rsid w:val="00A4571B"/>
    <w:rsid w:val="00A6327D"/>
    <w:rsid w:val="00A65F62"/>
    <w:rsid w:val="00A70870"/>
    <w:rsid w:val="00A72984"/>
    <w:rsid w:val="00A7420D"/>
    <w:rsid w:val="00AA518A"/>
    <w:rsid w:val="00AB7749"/>
    <w:rsid w:val="00AD323A"/>
    <w:rsid w:val="00AE114D"/>
    <w:rsid w:val="00AF176D"/>
    <w:rsid w:val="00B0713E"/>
    <w:rsid w:val="00B17324"/>
    <w:rsid w:val="00B174E0"/>
    <w:rsid w:val="00B30111"/>
    <w:rsid w:val="00B44685"/>
    <w:rsid w:val="00B7439C"/>
    <w:rsid w:val="00B77E24"/>
    <w:rsid w:val="00B82B23"/>
    <w:rsid w:val="00B909F4"/>
    <w:rsid w:val="00B94D70"/>
    <w:rsid w:val="00BA382F"/>
    <w:rsid w:val="00BB1358"/>
    <w:rsid w:val="00BB502B"/>
    <w:rsid w:val="00BC358F"/>
    <w:rsid w:val="00BD4A3E"/>
    <w:rsid w:val="00BD6BBF"/>
    <w:rsid w:val="00BE0B1C"/>
    <w:rsid w:val="00BF29FB"/>
    <w:rsid w:val="00C07EE8"/>
    <w:rsid w:val="00C13355"/>
    <w:rsid w:val="00C13B26"/>
    <w:rsid w:val="00C54B72"/>
    <w:rsid w:val="00C65960"/>
    <w:rsid w:val="00C6735D"/>
    <w:rsid w:val="00C7546D"/>
    <w:rsid w:val="00C76EA1"/>
    <w:rsid w:val="00C84F1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3DB2"/>
    <w:rsid w:val="00D66FFA"/>
    <w:rsid w:val="00D7319D"/>
    <w:rsid w:val="00D7637F"/>
    <w:rsid w:val="00D91F39"/>
    <w:rsid w:val="00D95487"/>
    <w:rsid w:val="00D967EE"/>
    <w:rsid w:val="00DA0305"/>
    <w:rsid w:val="00DB40D8"/>
    <w:rsid w:val="00DB488D"/>
    <w:rsid w:val="00DB4B8D"/>
    <w:rsid w:val="00DD3037"/>
    <w:rsid w:val="00DE179E"/>
    <w:rsid w:val="00DF1444"/>
    <w:rsid w:val="00E0194D"/>
    <w:rsid w:val="00E02807"/>
    <w:rsid w:val="00E246E1"/>
    <w:rsid w:val="00E24793"/>
    <w:rsid w:val="00E25544"/>
    <w:rsid w:val="00E35421"/>
    <w:rsid w:val="00E42C6F"/>
    <w:rsid w:val="00E63008"/>
    <w:rsid w:val="00E674A3"/>
    <w:rsid w:val="00E70B51"/>
    <w:rsid w:val="00EA4E58"/>
    <w:rsid w:val="00EC500E"/>
    <w:rsid w:val="00EE62B3"/>
    <w:rsid w:val="00F07867"/>
    <w:rsid w:val="00F30D61"/>
    <w:rsid w:val="00F34A75"/>
    <w:rsid w:val="00F36A9A"/>
    <w:rsid w:val="00F42C12"/>
    <w:rsid w:val="00F45D4F"/>
    <w:rsid w:val="00F54619"/>
    <w:rsid w:val="00F63F64"/>
    <w:rsid w:val="00F64AB5"/>
    <w:rsid w:val="00F7236A"/>
    <w:rsid w:val="00F9053B"/>
    <w:rsid w:val="00F93A52"/>
    <w:rsid w:val="00F9491B"/>
    <w:rsid w:val="00F97411"/>
    <w:rsid w:val="00FB7AB6"/>
    <w:rsid w:val="00FC2A4C"/>
    <w:rsid w:val="00FC3873"/>
    <w:rsid w:val="00FD4A68"/>
    <w:rsid w:val="00FF4D4C"/>
    <w:rsid w:val="039E0532"/>
    <w:rsid w:val="04B465B5"/>
    <w:rsid w:val="04D4719E"/>
    <w:rsid w:val="05E9194A"/>
    <w:rsid w:val="07103A76"/>
    <w:rsid w:val="07407110"/>
    <w:rsid w:val="07603392"/>
    <w:rsid w:val="079254DA"/>
    <w:rsid w:val="08A20BDD"/>
    <w:rsid w:val="0A0F4BBF"/>
    <w:rsid w:val="0B496569"/>
    <w:rsid w:val="0C3F1BC6"/>
    <w:rsid w:val="0CEF0CD8"/>
    <w:rsid w:val="0EBB0A57"/>
    <w:rsid w:val="0FA054ED"/>
    <w:rsid w:val="13A87672"/>
    <w:rsid w:val="148500C8"/>
    <w:rsid w:val="15286998"/>
    <w:rsid w:val="161B2363"/>
    <w:rsid w:val="16D910A7"/>
    <w:rsid w:val="1718035A"/>
    <w:rsid w:val="19425B39"/>
    <w:rsid w:val="1CDB0545"/>
    <w:rsid w:val="1FC53A57"/>
    <w:rsid w:val="217E5477"/>
    <w:rsid w:val="227C7D6A"/>
    <w:rsid w:val="23727E39"/>
    <w:rsid w:val="23B7333F"/>
    <w:rsid w:val="27EB5145"/>
    <w:rsid w:val="293E6A67"/>
    <w:rsid w:val="2BC163C9"/>
    <w:rsid w:val="2C2A3714"/>
    <w:rsid w:val="2C5571B4"/>
    <w:rsid w:val="2F871FCE"/>
    <w:rsid w:val="30026DF1"/>
    <w:rsid w:val="355A434C"/>
    <w:rsid w:val="36017203"/>
    <w:rsid w:val="372C139E"/>
    <w:rsid w:val="393F7483"/>
    <w:rsid w:val="3AD849D6"/>
    <w:rsid w:val="3B8701AA"/>
    <w:rsid w:val="3BE23D7D"/>
    <w:rsid w:val="3C7B5742"/>
    <w:rsid w:val="406F6FE9"/>
    <w:rsid w:val="415B1F16"/>
    <w:rsid w:val="419D10B9"/>
    <w:rsid w:val="440B6DDE"/>
    <w:rsid w:val="44E07C59"/>
    <w:rsid w:val="450867D9"/>
    <w:rsid w:val="483E4041"/>
    <w:rsid w:val="493165BC"/>
    <w:rsid w:val="495F7B0B"/>
    <w:rsid w:val="4AF01C50"/>
    <w:rsid w:val="4C8229F4"/>
    <w:rsid w:val="4CAC0371"/>
    <w:rsid w:val="4F6C463F"/>
    <w:rsid w:val="4FFC21EB"/>
    <w:rsid w:val="52D43D82"/>
    <w:rsid w:val="54274F11"/>
    <w:rsid w:val="54A67FF7"/>
    <w:rsid w:val="555A6F32"/>
    <w:rsid w:val="56C2411B"/>
    <w:rsid w:val="58A53346"/>
    <w:rsid w:val="58EE31BF"/>
    <w:rsid w:val="599819C5"/>
    <w:rsid w:val="5A33357F"/>
    <w:rsid w:val="5A856E48"/>
    <w:rsid w:val="5B073E59"/>
    <w:rsid w:val="5B61690E"/>
    <w:rsid w:val="5D51797B"/>
    <w:rsid w:val="5DC54FB9"/>
    <w:rsid w:val="5F7472CA"/>
    <w:rsid w:val="606C3ED4"/>
    <w:rsid w:val="608D3DD8"/>
    <w:rsid w:val="62AC36D8"/>
    <w:rsid w:val="631F1E62"/>
    <w:rsid w:val="64F8164D"/>
    <w:rsid w:val="6520361E"/>
    <w:rsid w:val="67350F9E"/>
    <w:rsid w:val="67BC07C3"/>
    <w:rsid w:val="695B5759"/>
    <w:rsid w:val="6B5C064B"/>
    <w:rsid w:val="6DBB3448"/>
    <w:rsid w:val="6DDC0F7C"/>
    <w:rsid w:val="71221EFD"/>
    <w:rsid w:val="74076C99"/>
    <w:rsid w:val="795A46B5"/>
    <w:rsid w:val="79FB4A4D"/>
    <w:rsid w:val="7A6F34A2"/>
    <w:rsid w:val="7ADB139D"/>
    <w:rsid w:val="7BBB33DF"/>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text"/>
    <w:basedOn w:val="1"/>
    <w:link w:val="37"/>
    <w:unhideWhenUsed/>
    <w:qFormat/>
    <w:uiPriority w:val="99"/>
    <w:pPr>
      <w:jc w:val="left"/>
    </w:pPr>
    <w:rPr>
      <w:rFonts w:asciiTheme="minorHAnsi" w:hAnsiTheme="minorHAnsi" w:eastAsiaTheme="minorEastAsia" w:cstheme="minorBidi"/>
    </w:rPr>
  </w:style>
  <w:style w:type="paragraph" w:styleId="6">
    <w:name w:val="Salutation"/>
    <w:basedOn w:val="1"/>
    <w:next w:val="1"/>
    <w:link w:val="36"/>
    <w:unhideWhenUsed/>
    <w:qFormat/>
    <w:uiPriority w:val="99"/>
    <w:rPr>
      <w:rFonts w:ascii="Times New Roman" w:hAnsi="Times New Roman" w:eastAsiaTheme="minorEastAsia" w:cstheme="minorBidi"/>
      <w:sz w:val="32"/>
      <w:szCs w:val="32"/>
    </w:rPr>
  </w:style>
  <w:style w:type="paragraph" w:styleId="7">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8">
    <w:name w:val="Body Text"/>
    <w:basedOn w:val="1"/>
    <w:qFormat/>
    <w:uiPriority w:val="0"/>
    <w:pPr>
      <w:spacing w:after="120"/>
    </w:pPr>
  </w:style>
  <w:style w:type="paragraph" w:styleId="9">
    <w:name w:val="Plain Text"/>
    <w:basedOn w:val="1"/>
    <w:link w:val="39"/>
    <w:qFormat/>
    <w:uiPriority w:val="0"/>
    <w:rPr>
      <w:rFonts w:ascii="宋体" w:hAnsi="Courier New" w:eastAsiaTheme="minorEastAsia" w:cstheme="minorBidi"/>
    </w:rPr>
  </w:style>
  <w:style w:type="paragraph" w:styleId="10">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2"/>
    <w:unhideWhenUsed/>
    <w:qFormat/>
    <w:uiPriority w:val="99"/>
    <w:rPr>
      <w:rFonts w:asciiTheme="minorHAnsi" w:hAnsiTheme="minorHAnsi" w:eastAsiaTheme="minorEastAsia" w:cstheme="minorBidi"/>
      <w:sz w:val="16"/>
      <w:szCs w:val="16"/>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5"/>
    <w:next w:val="5"/>
    <w:link w:val="38"/>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qFormat/>
    <w:uiPriority w:val="0"/>
    <w:rPr>
      <w:color w:val="800080"/>
      <w:u w:val="single"/>
    </w:rPr>
  </w:style>
  <w:style w:type="character" w:styleId="21">
    <w:name w:val="annotation reference"/>
    <w:basedOn w:val="19"/>
    <w:unhideWhenUsed/>
    <w:qFormat/>
    <w:uiPriority w:val="99"/>
    <w:rPr>
      <w:sz w:val="21"/>
      <w:szCs w:val="21"/>
    </w:rPr>
  </w:style>
  <w:style w:type="character" w:customStyle="1" w:styleId="22">
    <w:name w:val="页眉 字符"/>
    <w:basedOn w:val="19"/>
    <w:link w:val="13"/>
    <w:qFormat/>
    <w:uiPriority w:val="99"/>
    <w:rPr>
      <w:sz w:val="18"/>
      <w:szCs w:val="18"/>
    </w:rPr>
  </w:style>
  <w:style w:type="character" w:customStyle="1" w:styleId="23">
    <w:name w:val="页脚 字符"/>
    <w:basedOn w:val="19"/>
    <w:link w:val="12"/>
    <w:qFormat/>
    <w:uiPriority w:val="99"/>
    <w:rPr>
      <w:sz w:val="18"/>
      <w:szCs w:val="18"/>
    </w:rPr>
  </w:style>
  <w:style w:type="character" w:customStyle="1" w:styleId="24">
    <w:name w:val="标题 2 字符"/>
    <w:basedOn w:val="19"/>
    <w:link w:val="3"/>
    <w:qFormat/>
    <w:uiPriority w:val="0"/>
    <w:rPr>
      <w:rFonts w:ascii="宋体" w:hAnsi="宋体" w:eastAsia="宋体" w:cs="Times New Roman"/>
      <w:b/>
      <w:bCs/>
      <w:sz w:val="24"/>
      <w:szCs w:val="20"/>
      <w:lang w:val="zh-CN"/>
    </w:rPr>
  </w:style>
  <w:style w:type="character" w:customStyle="1" w:styleId="25">
    <w:name w:val="标题 3 字符"/>
    <w:basedOn w:val="19"/>
    <w:link w:val="4"/>
    <w:qFormat/>
    <w:uiPriority w:val="9"/>
    <w:rPr>
      <w:rFonts w:ascii="Calibri" w:hAnsi="Calibri" w:eastAsia="宋体" w:cs="Times New Roman"/>
      <w:b/>
      <w:bCs/>
      <w:sz w:val="32"/>
      <w:szCs w:val="32"/>
    </w:rPr>
  </w:style>
  <w:style w:type="character" w:customStyle="1" w:styleId="26">
    <w:name w:val="日期 Char"/>
    <w:basedOn w:val="19"/>
    <w:qFormat/>
    <w:uiPriority w:val="99"/>
  </w:style>
  <w:style w:type="character" w:customStyle="1" w:styleId="27">
    <w:name w:val="Plain Text Char1"/>
    <w:basedOn w:val="19"/>
    <w:semiHidden/>
    <w:qFormat/>
    <w:uiPriority w:val="99"/>
    <w:rPr>
      <w:rFonts w:ascii="宋体" w:hAnsi="Courier New" w:eastAsia="宋体" w:cs="Courier New"/>
      <w:szCs w:val="21"/>
    </w:rPr>
  </w:style>
  <w:style w:type="character" w:customStyle="1" w:styleId="28">
    <w:name w:val="批注文字 Char"/>
    <w:basedOn w:val="19"/>
    <w:qFormat/>
    <w:uiPriority w:val="99"/>
  </w:style>
  <w:style w:type="character" w:customStyle="1" w:styleId="29">
    <w:name w:val="称呼 Char"/>
    <w:basedOn w:val="19"/>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9"/>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9"/>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字符"/>
    <w:basedOn w:val="19"/>
    <w:link w:val="6"/>
    <w:semiHidden/>
    <w:qFormat/>
    <w:uiPriority w:val="99"/>
    <w:rPr>
      <w:rFonts w:ascii="Calibri" w:hAnsi="Calibri" w:eastAsia="宋体" w:cs="Times New Roman"/>
    </w:rPr>
  </w:style>
  <w:style w:type="character" w:customStyle="1" w:styleId="37">
    <w:name w:val="批注文字 字符"/>
    <w:basedOn w:val="19"/>
    <w:link w:val="5"/>
    <w:semiHidden/>
    <w:qFormat/>
    <w:uiPriority w:val="99"/>
    <w:rPr>
      <w:rFonts w:ascii="Calibri" w:hAnsi="Calibri" w:eastAsia="宋体" w:cs="Times New Roman"/>
    </w:rPr>
  </w:style>
  <w:style w:type="character" w:customStyle="1" w:styleId="38">
    <w:name w:val="批注主题 字符"/>
    <w:basedOn w:val="37"/>
    <w:link w:val="16"/>
    <w:semiHidden/>
    <w:qFormat/>
    <w:uiPriority w:val="99"/>
    <w:rPr>
      <w:rFonts w:ascii="Calibri" w:hAnsi="Calibri" w:eastAsia="宋体" w:cs="Times New Roman"/>
      <w:b/>
      <w:bCs/>
    </w:rPr>
  </w:style>
  <w:style w:type="character" w:customStyle="1" w:styleId="39">
    <w:name w:val="纯文本 字符"/>
    <w:basedOn w:val="19"/>
    <w:link w:val="9"/>
    <w:semiHidden/>
    <w:qFormat/>
    <w:uiPriority w:val="99"/>
    <w:rPr>
      <w:rFonts w:ascii="宋体" w:hAnsi="Courier New" w:eastAsia="宋体" w:cs="Courier New"/>
      <w:szCs w:val="21"/>
    </w:rPr>
  </w:style>
  <w:style w:type="character" w:customStyle="1" w:styleId="40">
    <w:name w:val="日期 字符"/>
    <w:basedOn w:val="19"/>
    <w:link w:val="10"/>
    <w:semiHidden/>
    <w:qFormat/>
    <w:uiPriority w:val="99"/>
    <w:rPr>
      <w:rFonts w:ascii="Calibri" w:hAnsi="Calibri" w:eastAsia="宋体" w:cs="Times New Roman"/>
    </w:rPr>
  </w:style>
  <w:style w:type="character" w:customStyle="1" w:styleId="41">
    <w:name w:val="结束语 字符"/>
    <w:basedOn w:val="19"/>
    <w:link w:val="7"/>
    <w:semiHidden/>
    <w:qFormat/>
    <w:uiPriority w:val="99"/>
    <w:rPr>
      <w:rFonts w:ascii="Calibri" w:hAnsi="Calibri" w:eastAsia="宋体" w:cs="Times New Roman"/>
    </w:rPr>
  </w:style>
  <w:style w:type="character" w:customStyle="1" w:styleId="42">
    <w:name w:val="批注框文本 字符"/>
    <w:basedOn w:val="19"/>
    <w:link w:val="11"/>
    <w:semiHidden/>
    <w:qFormat/>
    <w:uiPriority w:val="99"/>
    <w:rPr>
      <w:rFonts w:ascii="Calibri" w:hAnsi="Calibri" w:eastAsia="宋体" w:cs="Times New Roman"/>
      <w:sz w:val="18"/>
      <w:szCs w:val="18"/>
    </w:rPr>
  </w:style>
  <w:style w:type="character" w:customStyle="1" w:styleId="43">
    <w:name w:val="页眉 Char1"/>
    <w:basedOn w:val="19"/>
    <w:semiHidden/>
    <w:qFormat/>
    <w:uiPriority w:val="99"/>
    <w:rPr>
      <w:kern w:val="2"/>
      <w:sz w:val="18"/>
      <w:szCs w:val="18"/>
    </w:rPr>
  </w:style>
  <w:style w:type="character" w:customStyle="1" w:styleId="44">
    <w:name w:val="页脚 Char1"/>
    <w:basedOn w:val="19"/>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 w:type="paragraph" w:customStyle="1" w:styleId="56">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5C2062-8627-4B6B-9CDD-5C1993926D5D}">
  <ds:schemaRefs/>
</ds:datastoreItem>
</file>

<file path=docProps/app.xml><?xml version="1.0" encoding="utf-8"?>
<Properties xmlns="http://schemas.openxmlformats.org/officeDocument/2006/extended-properties" xmlns:vt="http://schemas.openxmlformats.org/officeDocument/2006/docPropsVTypes">
  <Template>Normal</Template>
  <Pages>27</Pages>
  <Words>7718</Words>
  <Characters>8020</Characters>
  <Lines>66</Lines>
  <Paragraphs>18</Paragraphs>
  <TotalTime>3</TotalTime>
  <ScaleCrop>false</ScaleCrop>
  <LinksUpToDate>false</LinksUpToDate>
  <CharactersWithSpaces>8458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2022-12-09T05:36:00Z</dcterms:created>
  <dc:creator>dell</dc:creator>
  <cp:lastModifiedBy>美喵喵</cp:lastModifiedBy>
  <cp:lastPrinted>2022-12-01T07:22:00Z</cp:lastPrinted>
  <dcterms:modified xsi:type="dcterms:W3CDTF">2023-05-08T10:27:37Z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5A30F24C80D04B01A7C2B140F88F3E4D</vt:lpwstr>
  </property>
</Properties>
</file>